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7247" w:rsidRDefault="003F5351">
      <w:pPr>
        <w:spacing w:after="100"/>
        <w:jc w:val="center"/>
      </w:pPr>
      <w:r>
        <w:rPr>
          <w:b/>
          <w:bCs/>
          <w:sz w:val="32"/>
          <w:szCs w:val="32"/>
        </w:rPr>
        <w:t>INIȚIATIVĂ LEGISLATIVĂ A CETĂȚENILOR</w:t>
      </w:r>
    </w:p>
    <w:p w:rsidR="00E47247" w:rsidRDefault="003F5351">
      <w:pPr>
        <w:spacing w:after="100"/>
        <w:jc w:val="center"/>
      </w:pPr>
      <w:r>
        <w:rPr>
          <w:b/>
          <w:bCs/>
          <w:i/>
          <w:iCs/>
          <w:sz w:val="26"/>
          <w:szCs w:val="26"/>
        </w:rPr>
        <w:t>privind reforma fiscală, debirocratizarea instituțională și reducerea cheltuielilor bugetare fără afectarea programelor sociale</w:t>
      </w:r>
    </w:p>
    <w:p w:rsidR="00E47247" w:rsidRDefault="003F5351">
      <w:pPr>
        <w:spacing w:after="400"/>
        <w:jc w:val="center"/>
      </w:pPr>
      <w:r>
        <w:rPr>
          <w:i/>
          <w:iCs/>
        </w:rPr>
        <w:t>Formulată în conformitate cu Legea nr. 189/1999 privind exercitarea inițiativei legislative a cetățenilor, republicată</w:t>
      </w:r>
    </w:p>
    <w:p w:rsidR="00E47247" w:rsidRDefault="003F5351">
      <w:pPr>
        <w:pStyle w:val="Titlu1"/>
        <w:spacing w:before="360" w:after="200"/>
      </w:pPr>
      <w:r>
        <w:rPr>
          <w:b/>
          <w:bCs/>
          <w:sz w:val="28"/>
          <w:szCs w:val="28"/>
        </w:rPr>
        <w:t>CAPITOLUL I. EXPUNERE DE MOTIVE</w:t>
      </w:r>
    </w:p>
    <w:p w:rsidR="00E47247" w:rsidRDefault="003F5351">
      <w:pPr>
        <w:pStyle w:val="Titlu2"/>
        <w:spacing w:before="360" w:after="200"/>
      </w:pPr>
      <w:r>
        <w:rPr>
          <w:b/>
          <w:bCs/>
          <w:sz w:val="24"/>
          <w:szCs w:val="24"/>
        </w:rPr>
        <w:t>1.1. Context și necesitate</w:t>
      </w:r>
    </w:p>
    <w:p w:rsidR="009530EB" w:rsidRDefault="003F5351">
      <w:pPr>
        <w:spacing w:after="200" w:line="300" w:lineRule="auto"/>
        <w:jc w:val="both"/>
        <w:rPr>
          <w:sz w:val="24"/>
          <w:szCs w:val="24"/>
        </w:rPr>
      </w:pPr>
      <w:r>
        <w:rPr>
          <w:sz w:val="24"/>
          <w:szCs w:val="24"/>
        </w:rPr>
        <w:t>România se confruntă în mod cronic cu un dezechilibru bugetar structural, alimentat nu de insuficiența veniturilor colectate, ci de multiplicarea instituțiilor publice cu atribuții suprapuse, de fiscalitatea complicată și greu predictibilă și de un aparat administrativ dimensionat pentru un stat de dimensiuni mult mai mari decât cel real</w:t>
      </w:r>
      <w:r w:rsidR="00B96BF8">
        <w:rPr>
          <w:sz w:val="24"/>
          <w:szCs w:val="24"/>
        </w:rPr>
        <w:t>, dar și din cauza unei clase politice incapabile să își asume măsuri necesare funcționării optime a unui stat</w:t>
      </w:r>
      <w:r>
        <w:rPr>
          <w:sz w:val="24"/>
          <w:szCs w:val="24"/>
        </w:rPr>
        <w:t>.</w:t>
      </w:r>
    </w:p>
    <w:p w:rsidR="009530EB" w:rsidRDefault="009530EB">
      <w:pPr>
        <w:spacing w:after="200" w:line="300" w:lineRule="auto"/>
        <w:jc w:val="both"/>
        <w:rPr>
          <w:sz w:val="24"/>
          <w:szCs w:val="24"/>
        </w:rPr>
      </w:pPr>
      <w:r>
        <w:rPr>
          <w:sz w:val="24"/>
          <w:szCs w:val="24"/>
        </w:rPr>
        <w:t xml:space="preserve">Guvernatorul Băncii Naționale a României (BNR) și reprezentanții Ministerului Finanțelor Publice (MFP) ne comunică faptul că 90% din cheltuielile bugetare ale României </w:t>
      </w:r>
      <w:proofErr w:type="gramStart"/>
      <w:r>
        <w:rPr>
          <w:sz w:val="24"/>
          <w:szCs w:val="24"/>
        </w:rPr>
        <w:t>sunt ”fixe</w:t>
      </w:r>
      <w:proofErr w:type="gramEnd"/>
      <w:r>
        <w:rPr>
          <w:sz w:val="24"/>
          <w:szCs w:val="24"/>
        </w:rPr>
        <w:t>” și că nu există spațiu fiscal pentru reduceri de taxes au majorări de salarii, ori noi propunem exact schimbarea acestei paradigme prin evidențierea situațiilor unde banii sunt prost cheltuiți sau prost gestionați, iar ”reformele” propuse ar crea exact ”spațiul fiscal” reclamat de BNR și MFP.</w:t>
      </w:r>
      <w:r w:rsidR="003F5351">
        <w:rPr>
          <w:sz w:val="24"/>
          <w:szCs w:val="24"/>
        </w:rPr>
        <w:t xml:space="preserve"> </w:t>
      </w:r>
    </w:p>
    <w:p w:rsidR="00E47247" w:rsidRDefault="003F5351">
      <w:pPr>
        <w:spacing w:after="200" w:line="300" w:lineRule="auto"/>
        <w:jc w:val="both"/>
      </w:pPr>
      <w:r>
        <w:rPr>
          <w:sz w:val="24"/>
          <w:szCs w:val="24"/>
        </w:rPr>
        <w:t>Prezenta inițiativă nu propune tăieri ale programelor sociale, ale salariilor din educație, sănătate sau apărare, ci o reformă structurală axată pe trei direcții: simplificarea fiscalității, comasarea sau desființarea instituțiilor fără utilitate publică demonstrabilă și raționalizarea reprezentării politice, inclusiv a costurilor de funcționare a Parlamentului.</w:t>
      </w:r>
    </w:p>
    <w:p w:rsidR="00E47247" w:rsidRDefault="003F5351">
      <w:pPr>
        <w:pStyle w:val="Titlu2"/>
        <w:spacing w:before="360" w:after="200"/>
      </w:pPr>
      <w:r>
        <w:rPr>
          <w:b/>
          <w:bCs/>
          <w:sz w:val="24"/>
          <w:szCs w:val="24"/>
        </w:rPr>
        <w:t>1.2. Reforma fiscală: cotă unică de TVA de 15% și impozit unic de 10% pe orice venit</w:t>
      </w:r>
    </w:p>
    <w:p w:rsidR="00E47247" w:rsidRDefault="003F5351">
      <w:pPr>
        <w:spacing w:after="200" w:line="300" w:lineRule="auto"/>
        <w:jc w:val="both"/>
      </w:pPr>
      <w:r>
        <w:rPr>
          <w:sz w:val="24"/>
          <w:szCs w:val="24"/>
        </w:rPr>
        <w:t>Se propune introducerea unei cote unice de TVA de 15%, aplicabilă tuturor bunurilor și serviciilor, precum și a unui impozit unic de 10% pe orice tip de venit/profit, indiferent de sursă (salarii, activități independente, dividende, chirii, venituri din capital).</w:t>
      </w:r>
    </w:p>
    <w:p w:rsidR="00E47247" w:rsidRDefault="003F5351">
      <w:pPr>
        <w:spacing w:after="200" w:line="300" w:lineRule="auto"/>
        <w:jc w:val="both"/>
      </w:pPr>
      <w:r>
        <w:rPr>
          <w:sz w:val="24"/>
          <w:szCs w:val="24"/>
        </w:rPr>
        <w:t>Argumente în favoarea măsurii: simplificarea drastică a administrării fiscale, reducerea costurilor de conformare pentru mediul de afaceri, lărgirea bazei de impozitare și limitarea spațiului de evaziune fiscală și optimizare artificială între categorii de venit, predictibilitate sporită pentru investitori.</w:t>
      </w:r>
    </w:p>
    <w:p w:rsidR="00E47247" w:rsidRDefault="003F5351">
      <w:pPr>
        <w:spacing w:after="200" w:line="300" w:lineRule="auto"/>
        <w:jc w:val="both"/>
      </w:pPr>
      <w:r>
        <w:rPr>
          <w:sz w:val="24"/>
          <w:szCs w:val="24"/>
        </w:rPr>
        <w:t>Obiecții anticipate și răspuns: se poate susține că o cotă unică de TVA de 15% este regresivă, afectând proporțional mai mult veniturile mici, unde ponderea consumului în venitul disponibil este mai mare; de asemenea, un impozit unic de 10% pe toate categoriile de venit ridică întrebări legitime privind echitatea verticală și impactul pe termen scurt asupra colectării bugetare. Prezenta inițiativă propune ca aceste efecte să fie compensate prin economiile structurale descrise la punctele 1.3–1.6, iar impactul net asupra veniturilor bugetare să fie evaluat de Consiliul Fiscal înainte de aplicare, conform mecanismului deja existent în legislația română.</w:t>
      </w:r>
    </w:p>
    <w:p w:rsidR="00E47247" w:rsidRDefault="003F5351">
      <w:pPr>
        <w:pStyle w:val="Titlu2"/>
        <w:spacing w:before="360" w:after="200"/>
      </w:pPr>
      <w:r>
        <w:rPr>
          <w:b/>
          <w:bCs/>
          <w:sz w:val="24"/>
          <w:szCs w:val="24"/>
        </w:rPr>
        <w:lastRenderedPageBreak/>
        <w:t>1.2¹. Reducerea fiscalității muncii: eșalonare pe 7 ani și surse de compensare</w:t>
      </w:r>
    </w:p>
    <w:p w:rsidR="00E47247" w:rsidRDefault="003F5351">
      <w:pPr>
        <w:spacing w:after="200" w:line="300" w:lineRule="auto"/>
        <w:jc w:val="both"/>
      </w:pPr>
      <w:r>
        <w:rPr>
          <w:sz w:val="24"/>
          <w:szCs w:val="24"/>
        </w:rPr>
        <w:t>Prezenta inițiativă propune reducerea graduală, pe o perioadă de 7 ani, a cotelor cumulate de contribuții sociale obligatorii (CAS și CASS) datorate de salariați, de la nivelul actual de 35% (25% CAS + 10% CASS) la un nivel cumulat de 25% (repartizat prin lege între CAS și CASS, păstrând proporția actuală), impozitul pe venit de 10% rămânând neschimbat. Reducerea integrală, aplicată dintr-o dată, ar genera o pierdere de venituri estimată la cca 58-59 miliarde lei anual (pe baza veniturilor din contribuții bugetate pentru 2026: cca 127,3 miliarde lei CAS și cca 78,35 miliarde lei CASS), sumă greu de acoperit fără afectarea sustenabilității sistemelor de pensii și sănătate. Eșalonarea pe 7 ani reduce șocul bugetar anual la cca 8-9 miliarde lei suplimentari pe an, corelat cu ritmul în care celelalte măsuri ale prezentei inițiative își produc efectele.</w:t>
      </w:r>
    </w:p>
    <w:p w:rsidR="00E47247" w:rsidRDefault="003F5351">
      <w:pPr>
        <w:spacing w:after="200" w:line="300" w:lineRule="auto"/>
        <w:jc w:val="both"/>
      </w:pPr>
      <w:r>
        <w:rPr>
          <w:sz w:val="24"/>
          <w:szCs w:val="24"/>
        </w:rPr>
        <w:t>Tabelul de mai jos ilustrează o traiectorie posibilă de reducere liniară, cu mențiunea că ritmul exact urmează să fie stabilit prin legea de aplicare, în funcție de execuția bugetară anuală constatată de Ministerul Finanțelor și de avizul Consiliului Fiscal:</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200"/>
        <w:gridCol w:w="1782"/>
        <w:gridCol w:w="1984"/>
        <w:gridCol w:w="3134"/>
      </w:tblGrid>
      <w:tr w:rsidR="00E47247" w:rsidTr="00C85FA2">
        <w:trPr>
          <w:tblHeader/>
        </w:trPr>
        <w:tc>
          <w:tcPr>
            <w:tcW w:w="1400" w:type="dxa"/>
            <w:shd w:val="clear" w:color="auto" w:fill="D9D9D9"/>
            <w:vAlign w:val="center"/>
          </w:tcPr>
          <w:p w:rsidR="00E47247" w:rsidRDefault="003F5351">
            <w:r>
              <w:rPr>
                <w:b/>
                <w:bCs/>
              </w:rPr>
              <w:t>An</w:t>
            </w:r>
          </w:p>
        </w:tc>
        <w:tc>
          <w:tcPr>
            <w:tcW w:w="2200" w:type="dxa"/>
            <w:shd w:val="clear" w:color="auto" w:fill="D9D9D9"/>
            <w:vAlign w:val="center"/>
          </w:tcPr>
          <w:p w:rsidR="00E47247" w:rsidRDefault="003F5351">
            <w:r>
              <w:rPr>
                <w:b/>
                <w:bCs/>
              </w:rPr>
              <w:t>Reducere cotă CAS+CASS (an curent)</w:t>
            </w:r>
          </w:p>
        </w:tc>
        <w:tc>
          <w:tcPr>
            <w:tcW w:w="1782" w:type="dxa"/>
            <w:shd w:val="clear" w:color="auto" w:fill="D9D9D9"/>
            <w:vAlign w:val="center"/>
          </w:tcPr>
          <w:p w:rsidR="00E47247" w:rsidRDefault="003F5351">
            <w:r>
              <w:rPr>
                <w:b/>
                <w:bCs/>
              </w:rPr>
              <w:t>Cotă CAS+CASS rezultată</w:t>
            </w:r>
          </w:p>
        </w:tc>
        <w:tc>
          <w:tcPr>
            <w:tcW w:w="1984" w:type="dxa"/>
            <w:shd w:val="clear" w:color="auto" w:fill="D9D9D9"/>
            <w:vAlign w:val="center"/>
          </w:tcPr>
          <w:p w:rsidR="00E47247" w:rsidRDefault="003F5351">
            <w:r>
              <w:rPr>
                <w:b/>
                <w:bCs/>
              </w:rPr>
              <w:t>Gol de finanțare anual cumulat (estimat)</w:t>
            </w:r>
          </w:p>
        </w:tc>
        <w:tc>
          <w:tcPr>
            <w:tcW w:w="3134" w:type="dxa"/>
            <w:shd w:val="clear" w:color="auto" w:fill="D9D9D9"/>
            <w:vAlign w:val="center"/>
          </w:tcPr>
          <w:p w:rsidR="00E47247" w:rsidRDefault="003F5351">
            <w:r>
              <w:rPr>
                <w:b/>
                <w:bCs/>
              </w:rPr>
              <w:t>Sursă principală de acoperire în acel an</w:t>
            </w:r>
          </w:p>
        </w:tc>
      </w:tr>
      <w:tr w:rsidR="00E47247" w:rsidTr="00C85FA2">
        <w:tc>
          <w:tcPr>
            <w:tcW w:w="1400" w:type="dxa"/>
            <w:vAlign w:val="center"/>
          </w:tcPr>
          <w:p w:rsidR="00E47247" w:rsidRDefault="003F5351">
            <w:r>
              <w:t>Anul 1</w:t>
            </w:r>
          </w:p>
        </w:tc>
        <w:tc>
          <w:tcPr>
            <w:tcW w:w="2200" w:type="dxa"/>
            <w:vAlign w:val="center"/>
          </w:tcPr>
          <w:p w:rsidR="00E47247" w:rsidRDefault="003F5351">
            <w:r>
              <w:t>-1,4 p.p.</w:t>
            </w:r>
          </w:p>
        </w:tc>
        <w:tc>
          <w:tcPr>
            <w:tcW w:w="1782" w:type="dxa"/>
            <w:vAlign w:val="center"/>
          </w:tcPr>
          <w:p w:rsidR="00E47247" w:rsidRDefault="003F5351">
            <w:r>
              <w:t>33,6%</w:t>
            </w:r>
          </w:p>
        </w:tc>
        <w:tc>
          <w:tcPr>
            <w:tcW w:w="1984" w:type="dxa"/>
            <w:vAlign w:val="center"/>
          </w:tcPr>
          <w:p w:rsidR="00E47247" w:rsidRDefault="003F5351">
            <w:r>
              <w:t>cca 8 mld lei</w:t>
            </w:r>
          </w:p>
        </w:tc>
        <w:tc>
          <w:tcPr>
            <w:tcW w:w="3134" w:type="dxa"/>
            <w:vAlign w:val="center"/>
          </w:tcPr>
          <w:p w:rsidR="00E47247" w:rsidRDefault="003F5351">
            <w:r>
              <w:t>economii din inventarierea și lichidarea companiilor-fantomă (art. 12) + primele desființări instituționale (art. 3-6)</w:t>
            </w:r>
          </w:p>
        </w:tc>
      </w:tr>
      <w:tr w:rsidR="00E47247" w:rsidTr="00C85FA2">
        <w:tc>
          <w:tcPr>
            <w:tcW w:w="1400" w:type="dxa"/>
            <w:vAlign w:val="center"/>
          </w:tcPr>
          <w:p w:rsidR="00E47247" w:rsidRDefault="003F5351">
            <w:r>
              <w:t>Anul 2</w:t>
            </w:r>
          </w:p>
        </w:tc>
        <w:tc>
          <w:tcPr>
            <w:tcW w:w="2200" w:type="dxa"/>
            <w:vAlign w:val="center"/>
          </w:tcPr>
          <w:p w:rsidR="00E47247" w:rsidRDefault="003F5351">
            <w:r>
              <w:t>-2,9 p.p.</w:t>
            </w:r>
          </w:p>
        </w:tc>
        <w:tc>
          <w:tcPr>
            <w:tcW w:w="1782" w:type="dxa"/>
            <w:vAlign w:val="center"/>
          </w:tcPr>
          <w:p w:rsidR="00E47247" w:rsidRDefault="003F5351">
            <w:r>
              <w:t>32,1%</w:t>
            </w:r>
          </w:p>
        </w:tc>
        <w:tc>
          <w:tcPr>
            <w:tcW w:w="1984" w:type="dxa"/>
            <w:vAlign w:val="center"/>
          </w:tcPr>
          <w:p w:rsidR="00E47247" w:rsidRDefault="003F5351">
            <w:r>
              <w:t>cca 17 mld lei</w:t>
            </w:r>
          </w:p>
        </w:tc>
        <w:tc>
          <w:tcPr>
            <w:tcW w:w="3134" w:type="dxa"/>
            <w:vAlign w:val="center"/>
          </w:tcPr>
          <w:p w:rsidR="00E47247" w:rsidRDefault="003F5351">
            <w:r>
              <w:t>intrarea în vigoare a comasării județelor și desființarea posturilor de prefect/subprefect (art. 9-10)</w:t>
            </w:r>
          </w:p>
        </w:tc>
      </w:tr>
      <w:tr w:rsidR="00E47247" w:rsidTr="00C85FA2">
        <w:tc>
          <w:tcPr>
            <w:tcW w:w="1400" w:type="dxa"/>
            <w:vAlign w:val="center"/>
          </w:tcPr>
          <w:p w:rsidR="00E47247" w:rsidRDefault="003F5351">
            <w:r>
              <w:t>Anul 3</w:t>
            </w:r>
          </w:p>
        </w:tc>
        <w:tc>
          <w:tcPr>
            <w:tcW w:w="2200" w:type="dxa"/>
            <w:vAlign w:val="center"/>
          </w:tcPr>
          <w:p w:rsidR="00E47247" w:rsidRDefault="003F5351">
            <w:r>
              <w:t>-4,3 p.p.</w:t>
            </w:r>
          </w:p>
        </w:tc>
        <w:tc>
          <w:tcPr>
            <w:tcW w:w="1782" w:type="dxa"/>
            <w:vAlign w:val="center"/>
          </w:tcPr>
          <w:p w:rsidR="00E47247" w:rsidRDefault="003F5351">
            <w:r>
              <w:t>30,7%</w:t>
            </w:r>
          </w:p>
        </w:tc>
        <w:tc>
          <w:tcPr>
            <w:tcW w:w="1984" w:type="dxa"/>
            <w:vAlign w:val="center"/>
          </w:tcPr>
          <w:p w:rsidR="00E47247" w:rsidRDefault="003F5351">
            <w:r>
              <w:t>cca 25 mld lei</w:t>
            </w:r>
          </w:p>
        </w:tc>
        <w:tc>
          <w:tcPr>
            <w:tcW w:w="3134" w:type="dxa"/>
            <w:vAlign w:val="center"/>
          </w:tcPr>
          <w:p w:rsidR="00E47247" w:rsidRDefault="003F5351">
            <w:r>
              <w:t>economii depline din comasarea celor 21 de instituții ale prefectului + direcții județene</w:t>
            </w:r>
          </w:p>
        </w:tc>
      </w:tr>
      <w:tr w:rsidR="00E47247" w:rsidTr="00C85FA2">
        <w:tc>
          <w:tcPr>
            <w:tcW w:w="1400" w:type="dxa"/>
            <w:vAlign w:val="center"/>
          </w:tcPr>
          <w:p w:rsidR="00E47247" w:rsidRDefault="003F5351">
            <w:r>
              <w:t>Anul 4</w:t>
            </w:r>
          </w:p>
        </w:tc>
        <w:tc>
          <w:tcPr>
            <w:tcW w:w="2200" w:type="dxa"/>
            <w:vAlign w:val="center"/>
          </w:tcPr>
          <w:p w:rsidR="00E47247" w:rsidRDefault="003F5351">
            <w:r>
              <w:t>-5,7 p.p.</w:t>
            </w:r>
          </w:p>
        </w:tc>
        <w:tc>
          <w:tcPr>
            <w:tcW w:w="1782" w:type="dxa"/>
            <w:vAlign w:val="center"/>
          </w:tcPr>
          <w:p w:rsidR="00E47247" w:rsidRDefault="003F5351">
            <w:r>
              <w:t>29,3%</w:t>
            </w:r>
          </w:p>
        </w:tc>
        <w:tc>
          <w:tcPr>
            <w:tcW w:w="1984" w:type="dxa"/>
            <w:vAlign w:val="center"/>
          </w:tcPr>
          <w:p w:rsidR="00E47247" w:rsidRDefault="003F5351">
            <w:r>
              <w:t>cca 34 mld lei</w:t>
            </w:r>
          </w:p>
        </w:tc>
        <w:tc>
          <w:tcPr>
            <w:tcW w:w="3134" w:type="dxa"/>
            <w:vAlign w:val="center"/>
          </w:tcPr>
          <w:p w:rsidR="00E47247" w:rsidRDefault="003F5351">
            <w:r>
              <w:t>comasarea comunelor sub 5.000 și orașelor sub 10.000 de locuitori (art. 11)</w:t>
            </w:r>
          </w:p>
        </w:tc>
      </w:tr>
      <w:tr w:rsidR="00E47247" w:rsidTr="00C85FA2">
        <w:tc>
          <w:tcPr>
            <w:tcW w:w="1400" w:type="dxa"/>
            <w:vAlign w:val="center"/>
          </w:tcPr>
          <w:p w:rsidR="00E47247" w:rsidRDefault="003F5351">
            <w:r>
              <w:t>Anul 5</w:t>
            </w:r>
          </w:p>
        </w:tc>
        <w:tc>
          <w:tcPr>
            <w:tcW w:w="2200" w:type="dxa"/>
            <w:vAlign w:val="center"/>
          </w:tcPr>
          <w:p w:rsidR="00E47247" w:rsidRDefault="003F5351">
            <w:r>
              <w:t>-7,1 p.p.</w:t>
            </w:r>
          </w:p>
        </w:tc>
        <w:tc>
          <w:tcPr>
            <w:tcW w:w="1782" w:type="dxa"/>
            <w:vAlign w:val="center"/>
          </w:tcPr>
          <w:p w:rsidR="00E47247" w:rsidRDefault="003F5351">
            <w:r>
              <w:t>27,9%</w:t>
            </w:r>
          </w:p>
        </w:tc>
        <w:tc>
          <w:tcPr>
            <w:tcW w:w="1984" w:type="dxa"/>
            <w:vAlign w:val="center"/>
          </w:tcPr>
          <w:p w:rsidR="00E47247" w:rsidRDefault="003F5351">
            <w:r>
              <w:t>cca 42 mld lei</w:t>
            </w:r>
          </w:p>
        </w:tc>
        <w:tc>
          <w:tcPr>
            <w:tcW w:w="3134" w:type="dxa"/>
            <w:vAlign w:val="center"/>
          </w:tcPr>
          <w:p w:rsidR="00E47247" w:rsidRDefault="003F5351">
            <w:r>
              <w:t>eliminarea treptată a chiriilor plătite pentru sedii private (art. 13¹) + creșterea consumului (TVA)</w:t>
            </w:r>
          </w:p>
        </w:tc>
      </w:tr>
      <w:tr w:rsidR="00E47247" w:rsidTr="00C85FA2">
        <w:tc>
          <w:tcPr>
            <w:tcW w:w="1400" w:type="dxa"/>
            <w:vAlign w:val="center"/>
          </w:tcPr>
          <w:p w:rsidR="00E47247" w:rsidRDefault="003F5351">
            <w:r>
              <w:t>Anul 6</w:t>
            </w:r>
          </w:p>
        </w:tc>
        <w:tc>
          <w:tcPr>
            <w:tcW w:w="2200" w:type="dxa"/>
            <w:vAlign w:val="center"/>
          </w:tcPr>
          <w:p w:rsidR="00E47247" w:rsidRDefault="003F5351">
            <w:r>
              <w:t>-8,6 p.p.</w:t>
            </w:r>
          </w:p>
        </w:tc>
        <w:tc>
          <w:tcPr>
            <w:tcW w:w="1782" w:type="dxa"/>
            <w:vAlign w:val="center"/>
          </w:tcPr>
          <w:p w:rsidR="00E47247" w:rsidRDefault="003F5351">
            <w:r>
              <w:t>26,4%</w:t>
            </w:r>
          </w:p>
        </w:tc>
        <w:tc>
          <w:tcPr>
            <w:tcW w:w="1984" w:type="dxa"/>
            <w:vAlign w:val="center"/>
          </w:tcPr>
          <w:p w:rsidR="00E47247" w:rsidRDefault="003F5351">
            <w:r>
              <w:t>cca 51 mld lei</w:t>
            </w:r>
          </w:p>
        </w:tc>
        <w:tc>
          <w:tcPr>
            <w:tcW w:w="3134" w:type="dxa"/>
            <w:vAlign w:val="center"/>
          </w:tcPr>
          <w:p w:rsidR="00E47247" w:rsidRDefault="003F5351">
            <w:r>
              <w:t>consolidarea economiilor administrative + primele randamente ale Fondului Suveran</w:t>
            </w:r>
          </w:p>
        </w:tc>
      </w:tr>
      <w:tr w:rsidR="00E47247" w:rsidTr="00C85FA2">
        <w:tc>
          <w:tcPr>
            <w:tcW w:w="1400" w:type="dxa"/>
            <w:vAlign w:val="center"/>
          </w:tcPr>
          <w:p w:rsidR="00E47247" w:rsidRDefault="003F5351">
            <w:r>
              <w:t>Anul 7</w:t>
            </w:r>
          </w:p>
        </w:tc>
        <w:tc>
          <w:tcPr>
            <w:tcW w:w="2200" w:type="dxa"/>
            <w:vAlign w:val="center"/>
          </w:tcPr>
          <w:p w:rsidR="00E47247" w:rsidRDefault="003F5351">
            <w:r>
              <w:t>-10 p.p. (final)</w:t>
            </w:r>
          </w:p>
        </w:tc>
        <w:tc>
          <w:tcPr>
            <w:tcW w:w="1782" w:type="dxa"/>
            <w:vAlign w:val="center"/>
          </w:tcPr>
          <w:p w:rsidR="00E47247" w:rsidRDefault="003F5351">
            <w:r>
              <w:t>25%</w:t>
            </w:r>
          </w:p>
        </w:tc>
        <w:tc>
          <w:tcPr>
            <w:tcW w:w="1984" w:type="dxa"/>
            <w:vAlign w:val="center"/>
          </w:tcPr>
          <w:p w:rsidR="00E47247" w:rsidRDefault="003F5351">
            <w:r>
              <w:t>cca 59 mld lei (nivel permanent)</w:t>
            </w:r>
          </w:p>
        </w:tc>
        <w:tc>
          <w:tcPr>
            <w:tcW w:w="3134" w:type="dxa"/>
            <w:vAlign w:val="center"/>
          </w:tcPr>
          <w:p w:rsidR="00E47247" w:rsidRDefault="003F5351">
            <w:r>
              <w:t>regim de croazieră: economii administrative structurale + randamentul anual al Fondului Suveran</w:t>
            </w:r>
          </w:p>
        </w:tc>
      </w:tr>
    </w:tbl>
    <w:p w:rsidR="00E47247" w:rsidRDefault="00E47247"/>
    <w:p w:rsidR="00E47247" w:rsidRDefault="003F5351">
      <w:pPr>
        <w:pStyle w:val="Titlu3"/>
        <w:spacing w:before="240" w:after="160"/>
      </w:pPr>
      <w:r>
        <w:rPr>
          <w:b/>
          <w:bCs/>
        </w:rPr>
        <w:t>Corectarea unei premise privind bugetul Apărării</w:t>
      </w:r>
    </w:p>
    <w:p w:rsidR="00E47247" w:rsidRDefault="003F5351">
      <w:pPr>
        <w:spacing w:after="200" w:line="300" w:lineRule="auto"/>
        <w:jc w:val="both"/>
      </w:pPr>
      <w:r>
        <w:rPr>
          <w:sz w:val="24"/>
          <w:szCs w:val="24"/>
        </w:rPr>
        <w:t xml:space="preserve">România alocă în 2026 cca 2,45% din PIB pentru apărarea propriu-zisă (49,4 miliarde lei), la care se adaugă cca 1,2-1,3% din PIB pentru investiții conexe. Angajamentul asumat la Summitul NATO de la Haga (2025) nu presupune atingerea a 5% din PIB imediat, ci gradual, până în anul 2035 (3,5% apărare de bază + 1,5% investiții conexe). Prin urmare, plafonarea la 3% din PIB în locul unei creșteri spre 5% nu eliberează resurse semnificative în primii 7 ani ai prezentei reforme, întrucât România oricum nu era programată să ajungă la 5% în acest interval; diferența reală, și deci economia bugetară reală, ar deveni </w:t>
      </w:r>
      <w:r>
        <w:rPr>
          <w:sz w:val="24"/>
          <w:szCs w:val="24"/>
        </w:rPr>
        <w:lastRenderedPageBreak/>
        <w:t>relevantă abia spre orizontul 2033-2035. Măsura</w:t>
      </w:r>
      <w:r w:rsidR="00B96BF8">
        <w:rPr>
          <w:sz w:val="24"/>
          <w:szCs w:val="24"/>
        </w:rPr>
        <w:t xml:space="preserve"> propusă de PLAFONARE a cheltuielilor de Apărare la 3% din PIB</w:t>
      </w:r>
      <w:r>
        <w:rPr>
          <w:sz w:val="24"/>
          <w:szCs w:val="24"/>
        </w:rPr>
        <w:t xml:space="preserve"> rămâne, totuși, o opțiune de politică publică legitimă, dar nu poate fi contabilizată ca sursă de compensare pentru reforma fiscalității muncii în orizontul de 7 ani al prezentei inițiative.</w:t>
      </w:r>
    </w:p>
    <w:p w:rsidR="00E47247" w:rsidRDefault="003F5351">
      <w:pPr>
        <w:pStyle w:val="Titlu3"/>
        <w:spacing w:before="240" w:after="160"/>
      </w:pPr>
      <w:r>
        <w:rPr>
          <w:b/>
          <w:bCs/>
        </w:rPr>
        <w:t>Fondul Suveran de Dezvoltare — o reformă de avuție pe termen lung, nu o sursă imediată de compensare</w:t>
      </w:r>
    </w:p>
    <w:p w:rsidR="00E47247" w:rsidRDefault="003F5351">
      <w:pPr>
        <w:spacing w:after="200" w:line="300" w:lineRule="auto"/>
        <w:jc w:val="both"/>
      </w:pPr>
      <w:r>
        <w:rPr>
          <w:sz w:val="24"/>
          <w:szCs w:val="24"/>
        </w:rPr>
        <w:t>Se propune înființarea unui Fond Suveran de Dezvoltare, în care statul aportează participațiile deținute la companiile profitabile cu capital majoritar sau integral de stat (Hidroelectrica, Romgaz, Nuclearelectrica, Transelectrica, Transgaz, Salrom, Apemin, CNAIR și altele similare), administrat după modelul de guvernanță profesionistă recomandat pentru „bijuteriile coroanei" ale portofoliului public: management ales pe criterii profesionale, fără numiri politice, și interdicția folosirii acestor companii ca sursă de angajări sau contracte de partid. Timp de 7 ani, 50% din dividendele care i-ar reveni în mod obișnuit statului rămân în Fond pentru dezvoltare, iar cealaltă jumătate continuă să alimenteze bugetul general, ca și până acum.</w:t>
      </w:r>
    </w:p>
    <w:p w:rsidR="00E47247" w:rsidRPr="009530EB" w:rsidRDefault="003F5351">
      <w:pPr>
        <w:spacing w:after="200" w:line="300" w:lineRule="auto"/>
        <w:jc w:val="both"/>
        <w:rPr>
          <w:b/>
        </w:rPr>
      </w:pPr>
      <w:r>
        <w:rPr>
          <w:sz w:val="24"/>
          <w:szCs w:val="24"/>
        </w:rPr>
        <w:t xml:space="preserve">Această construcție trebuie înțeleasă corect din punct de vedere bugetar: în primii ani, Fondul reprezintă un cost net pentru bugetul curent, nu o sursă de compensare — statul renunță la cca 4-5 miliarde lei anual din dividendele pe care le-ar fi încasat oricum (dividendele totale vărsate la buget de companiile de stat profitabile au fost de ordinul a 8 miliarde lei în 2025). Abia după acumularea unui capital propriu de ordinul a 30-35 miliarde lei (prin aportul anual plus reinvestirea randamentelor), către anul 7 Fondul poate începe să producă un randament anual propriu, estimat inițial la 1,5-2,5 miliarde lei, care se adaugă apoi, an de an, la sursele structurale de compensare, crescând pe măsură ce capitalul acumulat crește. </w:t>
      </w:r>
      <w:r w:rsidRPr="009530EB">
        <w:rPr>
          <w:b/>
          <w:sz w:val="24"/>
          <w:szCs w:val="24"/>
        </w:rPr>
        <w:t>Fondul trebuie prezentat, așadar, ca reformă de avuție națională pe termen lung, care începe să contribuie efectiv la finanțarea reducerii fiscalității muncii abia spre finalul eșalonării propuse și, mai ales, în anii ulteriori acesteia — nu ca sursă principală de compensare în cei 7 ani ai reformei.</w:t>
      </w:r>
    </w:p>
    <w:p w:rsidR="00E47247" w:rsidRPr="009530EB" w:rsidRDefault="003F5351">
      <w:pPr>
        <w:pStyle w:val="Titlu3"/>
        <w:spacing w:before="240" w:after="160"/>
        <w:rPr>
          <w:color w:val="FF0000"/>
        </w:rPr>
      </w:pPr>
      <w:r w:rsidRPr="009530EB">
        <w:rPr>
          <w:b/>
          <w:bCs/>
          <w:color w:val="FF0000"/>
        </w:rPr>
        <w:t>Reforma administrativ-teritorială — pilonul central de compensare</w:t>
      </w:r>
    </w:p>
    <w:p w:rsidR="00B96BF8" w:rsidRDefault="003F5351">
      <w:pPr>
        <w:spacing w:after="200" w:line="300" w:lineRule="auto"/>
        <w:jc w:val="both"/>
        <w:rPr>
          <w:sz w:val="24"/>
          <w:szCs w:val="24"/>
        </w:rPr>
      </w:pPr>
      <w:r w:rsidRPr="00B96BF8">
        <w:rPr>
          <w:b/>
          <w:sz w:val="24"/>
          <w:szCs w:val="24"/>
          <w:u w:val="single"/>
        </w:rPr>
        <w:t>Sursa principală și cea mai solidă cantitativ de compensare rămâne reforma administrativ-teritorială descrisă la punctul 1.6</w:t>
      </w:r>
      <w:r>
        <w:rPr>
          <w:sz w:val="24"/>
          <w:szCs w:val="24"/>
        </w:rPr>
        <w:t xml:space="preserve">: comasarea celor 21 de perechi de județe, desființarea posturilor de prefect și subprefect devenite redundante, comasarea comunelor sub 5.000 de locuitori și </w:t>
      </w:r>
      <w:proofErr w:type="gramStart"/>
      <w:r>
        <w:rPr>
          <w:sz w:val="24"/>
          <w:szCs w:val="24"/>
        </w:rPr>
        <w:t>a</w:t>
      </w:r>
      <w:proofErr w:type="gramEnd"/>
      <w:r>
        <w:rPr>
          <w:sz w:val="24"/>
          <w:szCs w:val="24"/>
        </w:rPr>
        <w:t xml:space="preserve"> orașelor sub 10.000 de locuitori, precum și inventarierea și lichidarea companiilor de stat fără activitate economică reală (art. 12). Chiar și o realizare parțială — de ordinul a 20-30% din potențialul estimat la punctul 1.6.1 (60-100 miliarde lei anual) — ar acoperi, singură, cea mai mare parte a golului de finanțare generat de reducerea graduală a CAS și CASS descrisă mai sus. </w:t>
      </w:r>
    </w:p>
    <w:p w:rsidR="00E47247" w:rsidRDefault="003F5351">
      <w:pPr>
        <w:spacing w:after="200" w:line="300" w:lineRule="auto"/>
        <w:jc w:val="both"/>
      </w:pPr>
      <w:r w:rsidRPr="00B96BF8">
        <w:rPr>
          <w:b/>
          <w:sz w:val="24"/>
          <w:szCs w:val="24"/>
          <w:u w:val="single"/>
        </w:rPr>
        <w:t>Riscul principal nu este de natură financiară, ci instituțională</w:t>
      </w:r>
      <w:r>
        <w:rPr>
          <w:sz w:val="24"/>
          <w:szCs w:val="24"/>
        </w:rPr>
        <w:t>: rezistența așteptată la desființarea structurilor de conducere paralele este semnificativ mai mare decât rezistența la o simplă reformă fiscală, astfel încât termenele de aplicare din Capitolul II trebuie susținute prin mecanisme ferme de control parlamentar al execuției (a se vedea art. 15).</w:t>
      </w:r>
    </w:p>
    <w:p w:rsidR="00E47247" w:rsidRDefault="003F5351">
      <w:pPr>
        <w:spacing w:after="200" w:line="300" w:lineRule="auto"/>
        <w:jc w:val="both"/>
      </w:pPr>
      <w:r>
        <w:rPr>
          <w:i/>
          <w:iCs/>
          <w:sz w:val="24"/>
          <w:szCs w:val="24"/>
        </w:rPr>
        <w:t xml:space="preserve">Toate cifrele din prezenta secțiune au caracter estimativ, întemeiat pe execuția bugetară 2026 și pe declarații publice disponibile la data redactării; ritmul exact al eșalonării pe 7 ani și repartizarea </w:t>
      </w:r>
      <w:r>
        <w:rPr>
          <w:i/>
          <w:iCs/>
          <w:sz w:val="24"/>
          <w:szCs w:val="24"/>
        </w:rPr>
        <w:lastRenderedPageBreak/>
        <w:t>anuală a reducerii între CAS și CASS urmează să fie stabilite prin legea de aplicare, cu avizul prealabil al Consiliului Fiscal.</w:t>
      </w:r>
    </w:p>
    <w:p w:rsidR="00E47247" w:rsidRDefault="003F5351">
      <w:pPr>
        <w:pStyle w:val="Titlu2"/>
        <w:spacing w:before="360" w:after="200"/>
      </w:pPr>
      <w:r>
        <w:rPr>
          <w:b/>
          <w:bCs/>
          <w:sz w:val="24"/>
          <w:szCs w:val="24"/>
        </w:rPr>
        <w:t>1.3. Reforma instituțională: comasarea și desființarea instituțiilor fără utilitate publică demonstrabilă</w:t>
      </w:r>
    </w:p>
    <w:p w:rsidR="00E47247" w:rsidRDefault="003F5351">
      <w:pPr>
        <w:spacing w:after="200" w:line="300" w:lineRule="auto"/>
        <w:jc w:val="both"/>
      </w:pPr>
      <w:r>
        <w:rPr>
          <w:sz w:val="24"/>
          <w:szCs w:val="24"/>
        </w:rPr>
        <w:t>Analiza cheltuielilor publice arată existența unui număr de instituții, academii și institute finanțate integral sau majoritar de la bugetul de stat, ale căror atribuții se suprapun cu cele ale unor structuri deja existente (Academia Română, Avocatul Poporului) sau ale căror rezultate nu justifică, potrivit rapoartelor publice, nivelul finanțării. Tabelul de mai jos centralizează situația instituțiilor identificate până la acest stadiu al analizei, cu mențiunea că maparea completă, instituție cu instituție, face obiectul unei cercetări separate, mai extinse</w:t>
      </w:r>
      <w:r w:rsidR="009530EB">
        <w:rPr>
          <w:sz w:val="24"/>
          <w:szCs w:val="24"/>
        </w:rPr>
        <w:t xml:space="preserve">, dacă se dorește, pentru că există și alte </w:t>
      </w:r>
      <w:proofErr w:type="gramStart"/>
      <w:r w:rsidR="009530EB">
        <w:rPr>
          <w:sz w:val="24"/>
          <w:szCs w:val="24"/>
        </w:rPr>
        <w:t>instituții ”bugetofage</w:t>
      </w:r>
      <w:proofErr w:type="gramEnd"/>
      <w:r w:rsidR="009530EB">
        <w:rPr>
          <w:sz w:val="24"/>
          <w:szCs w:val="24"/>
        </w:rPr>
        <w:t>”</w:t>
      </w:r>
      <w:r>
        <w:rPr>
          <w:sz w:val="24"/>
          <w:szCs w:val="24"/>
        </w:rPr>
        <w: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600"/>
        <w:gridCol w:w="1600"/>
        <w:gridCol w:w="3100"/>
      </w:tblGrid>
      <w:tr w:rsidR="00E47247">
        <w:trPr>
          <w:tblHeader/>
        </w:trPr>
        <w:tc>
          <w:tcPr>
            <w:tcW w:w="3200" w:type="dxa"/>
            <w:shd w:val="clear" w:color="auto" w:fill="D9D9D9"/>
            <w:vAlign w:val="center"/>
          </w:tcPr>
          <w:p w:rsidR="00E47247" w:rsidRDefault="003F5351">
            <w:r>
              <w:rPr>
                <w:b/>
                <w:bCs/>
              </w:rPr>
              <w:t>Instituție</w:t>
            </w:r>
          </w:p>
        </w:tc>
        <w:tc>
          <w:tcPr>
            <w:tcW w:w="1600" w:type="dxa"/>
            <w:shd w:val="clear" w:color="auto" w:fill="D9D9D9"/>
            <w:vAlign w:val="center"/>
          </w:tcPr>
          <w:p w:rsidR="00E47247" w:rsidRDefault="003F5351">
            <w:r>
              <w:rPr>
                <w:b/>
                <w:bCs/>
              </w:rPr>
              <w:t>Buget anual estimat</w:t>
            </w:r>
          </w:p>
        </w:tc>
        <w:tc>
          <w:tcPr>
            <w:tcW w:w="1600" w:type="dxa"/>
            <w:shd w:val="clear" w:color="auto" w:fill="D9D9D9"/>
            <w:vAlign w:val="center"/>
          </w:tcPr>
          <w:p w:rsidR="00E47247" w:rsidRDefault="003F5351">
            <w:r>
              <w:rPr>
                <w:b/>
                <w:bCs/>
              </w:rPr>
              <w:t>Economie estimată</w:t>
            </w:r>
          </w:p>
        </w:tc>
        <w:tc>
          <w:tcPr>
            <w:tcW w:w="3100" w:type="dxa"/>
            <w:shd w:val="clear" w:color="auto" w:fill="D9D9D9"/>
            <w:vAlign w:val="center"/>
          </w:tcPr>
          <w:p w:rsidR="00E47247" w:rsidRDefault="003F5351">
            <w:r>
              <w:rPr>
                <w:b/>
                <w:bCs/>
              </w:rPr>
              <w:t>Măsură propusă</w:t>
            </w:r>
          </w:p>
        </w:tc>
      </w:tr>
      <w:tr w:rsidR="00E47247">
        <w:tc>
          <w:tcPr>
            <w:tcW w:w="3200" w:type="dxa"/>
            <w:vAlign w:val="center"/>
          </w:tcPr>
          <w:p w:rsidR="00E47247" w:rsidRDefault="003F5351">
            <w:r>
              <w:t>Academia Oamenilor de Știință din România (AOSR)</w:t>
            </w:r>
          </w:p>
        </w:tc>
        <w:tc>
          <w:tcPr>
            <w:tcW w:w="1600" w:type="dxa"/>
            <w:vAlign w:val="center"/>
          </w:tcPr>
          <w:p w:rsidR="00E47247" w:rsidRDefault="003F5351">
            <w:r>
              <w:t>cca 10–12 mil. lei/an</w:t>
            </w:r>
          </w:p>
        </w:tc>
        <w:tc>
          <w:tcPr>
            <w:tcW w:w="1600" w:type="dxa"/>
            <w:vAlign w:val="center"/>
          </w:tcPr>
          <w:p w:rsidR="00E47247" w:rsidRDefault="003F5351">
            <w:r>
              <w:t>cca 12 mil. lei/an</w:t>
            </w:r>
          </w:p>
        </w:tc>
        <w:tc>
          <w:tcPr>
            <w:tcW w:w="3100" w:type="dxa"/>
            <w:vAlign w:val="center"/>
          </w:tcPr>
          <w:p w:rsidR="00E47247" w:rsidRDefault="003F5351">
            <w:r>
              <w:t>Desființare prin abrogarea legii de înființare; personalul de cercetare efectiv, dacă există, poate fi preluat de Academia Română</w:t>
            </w:r>
          </w:p>
        </w:tc>
      </w:tr>
      <w:tr w:rsidR="00E47247">
        <w:tc>
          <w:tcPr>
            <w:tcW w:w="3200" w:type="dxa"/>
            <w:vAlign w:val="center"/>
          </w:tcPr>
          <w:p w:rsidR="00E47247" w:rsidRDefault="003F5351">
            <w:r>
              <w:t>Institutul de Studii Avansate pentru Cultura și Civilizația Levantului (ISACCL)</w:t>
            </w:r>
          </w:p>
        </w:tc>
        <w:tc>
          <w:tcPr>
            <w:tcW w:w="1600" w:type="dxa"/>
            <w:vAlign w:val="center"/>
          </w:tcPr>
          <w:p w:rsidR="00E47247" w:rsidRDefault="003F5351">
            <w:r>
              <w:t>cca 2 mil. lei/an</w:t>
            </w:r>
          </w:p>
        </w:tc>
        <w:tc>
          <w:tcPr>
            <w:tcW w:w="1600" w:type="dxa"/>
            <w:vAlign w:val="center"/>
          </w:tcPr>
          <w:p w:rsidR="00E47247" w:rsidRDefault="003F5351">
            <w:r>
              <w:t>cca 2 mil. lei/an</w:t>
            </w:r>
          </w:p>
        </w:tc>
        <w:tc>
          <w:tcPr>
            <w:tcW w:w="3100" w:type="dxa"/>
            <w:vAlign w:val="center"/>
          </w:tcPr>
          <w:p w:rsidR="00E47247" w:rsidRDefault="003F5351">
            <w:r>
              <w:t>Desființare sau transformare în catedră/centru fără personalitate juridică în cadrul unei universități de stat</w:t>
            </w:r>
          </w:p>
        </w:tc>
      </w:tr>
      <w:tr w:rsidR="00E47247">
        <w:tc>
          <w:tcPr>
            <w:tcW w:w="3200" w:type="dxa"/>
            <w:vAlign w:val="center"/>
          </w:tcPr>
          <w:p w:rsidR="00E47247" w:rsidRDefault="003F5351">
            <w:r>
              <w:t>Institutul Român pentru Drepturile Omului (IRDO)</w:t>
            </w:r>
          </w:p>
        </w:tc>
        <w:tc>
          <w:tcPr>
            <w:tcW w:w="1600" w:type="dxa"/>
            <w:vAlign w:val="center"/>
          </w:tcPr>
          <w:p w:rsidR="00E47247" w:rsidRDefault="003F5351">
            <w:r>
              <w:t>cca 3 mil. lei/an</w:t>
            </w:r>
          </w:p>
        </w:tc>
        <w:tc>
          <w:tcPr>
            <w:tcW w:w="1600" w:type="dxa"/>
            <w:vAlign w:val="center"/>
          </w:tcPr>
          <w:p w:rsidR="00E47247" w:rsidRDefault="003F5351">
            <w:r>
              <w:t>cca 3 mil. lei/an</w:t>
            </w:r>
          </w:p>
        </w:tc>
        <w:tc>
          <w:tcPr>
            <w:tcW w:w="3100" w:type="dxa"/>
            <w:vAlign w:val="center"/>
          </w:tcPr>
          <w:p w:rsidR="00E47247" w:rsidRDefault="003F5351">
            <w:r>
              <w:t>Desființare; atribuțiile reale de monitorizare preluate de Avocatul Poporului</w:t>
            </w:r>
          </w:p>
        </w:tc>
      </w:tr>
      <w:tr w:rsidR="00E47247">
        <w:tc>
          <w:tcPr>
            <w:tcW w:w="3200" w:type="dxa"/>
            <w:vAlign w:val="center"/>
          </w:tcPr>
          <w:p w:rsidR="00E47247" w:rsidRDefault="003F5351">
            <w:r>
              <w:t>Institutul Revoluției Române din Decembrie 1989 (IRRD)</w:t>
            </w:r>
          </w:p>
        </w:tc>
        <w:tc>
          <w:tcPr>
            <w:tcW w:w="1600" w:type="dxa"/>
            <w:vAlign w:val="center"/>
          </w:tcPr>
          <w:p w:rsidR="00E47247" w:rsidRDefault="003F5351">
            <w:r>
              <w:t>cca 3 mil. lei/an</w:t>
            </w:r>
          </w:p>
        </w:tc>
        <w:tc>
          <w:tcPr>
            <w:tcW w:w="1600" w:type="dxa"/>
            <w:vAlign w:val="center"/>
          </w:tcPr>
          <w:p w:rsidR="00E47247" w:rsidRDefault="003F5351">
            <w:r>
              <w:t>cca 3 mil. lei/an</w:t>
            </w:r>
          </w:p>
        </w:tc>
        <w:tc>
          <w:tcPr>
            <w:tcW w:w="3100" w:type="dxa"/>
            <w:vAlign w:val="center"/>
          </w:tcPr>
          <w:p w:rsidR="00E47247" w:rsidRDefault="003F5351">
            <w:r>
              <w:t>Desființare; arhiva și fondul documentar preluate de Institutul Național pentru Studiul Totalitarismului</w:t>
            </w:r>
          </w:p>
        </w:tc>
      </w:tr>
      <w:tr w:rsidR="00E47247">
        <w:tc>
          <w:tcPr>
            <w:tcW w:w="3200" w:type="dxa"/>
            <w:vAlign w:val="center"/>
          </w:tcPr>
          <w:p w:rsidR="00E47247" w:rsidRDefault="003F5351">
            <w:r>
              <w:t>Academia de Științe Medicale (ASM)</w:t>
            </w:r>
          </w:p>
        </w:tc>
        <w:tc>
          <w:tcPr>
            <w:tcW w:w="1600" w:type="dxa"/>
            <w:vAlign w:val="center"/>
          </w:tcPr>
          <w:p w:rsidR="00E47247" w:rsidRDefault="003F5351">
            <w:r>
              <w:t>buget public neidentificat integral – necesită verificare la rectificarea bugetară</w:t>
            </w:r>
          </w:p>
        </w:tc>
        <w:tc>
          <w:tcPr>
            <w:tcW w:w="1600" w:type="dxa"/>
            <w:vAlign w:val="center"/>
          </w:tcPr>
          <w:p w:rsidR="00E47247" w:rsidRDefault="003F5351">
            <w:r>
              <w:t>de estimat</w:t>
            </w:r>
          </w:p>
        </w:tc>
        <w:tc>
          <w:tcPr>
            <w:tcW w:w="3100" w:type="dxa"/>
            <w:vAlign w:val="center"/>
          </w:tcPr>
          <w:p w:rsidR="00E47247" w:rsidRDefault="003F5351">
            <w:r>
              <w:t>Comasare cu Academia Română, Secția de Științe Medicale</w:t>
            </w:r>
          </w:p>
        </w:tc>
      </w:tr>
      <w:tr w:rsidR="00E47247">
        <w:tc>
          <w:tcPr>
            <w:tcW w:w="3200" w:type="dxa"/>
            <w:vAlign w:val="center"/>
          </w:tcPr>
          <w:p w:rsidR="00E47247" w:rsidRDefault="003F5351">
            <w:r>
              <w:t>Academia de Științe Tehnice din România (AST)</w:t>
            </w:r>
          </w:p>
        </w:tc>
        <w:tc>
          <w:tcPr>
            <w:tcW w:w="1600" w:type="dxa"/>
            <w:vAlign w:val="center"/>
          </w:tcPr>
          <w:p w:rsidR="00E47247" w:rsidRDefault="003F5351">
            <w:r>
              <w:t>buget public neidentificat integral – necesită verificare la rectificarea bugetară</w:t>
            </w:r>
          </w:p>
        </w:tc>
        <w:tc>
          <w:tcPr>
            <w:tcW w:w="1600" w:type="dxa"/>
            <w:vAlign w:val="center"/>
          </w:tcPr>
          <w:p w:rsidR="00E47247" w:rsidRDefault="003F5351">
            <w:r>
              <w:t>de estimat</w:t>
            </w:r>
          </w:p>
        </w:tc>
        <w:tc>
          <w:tcPr>
            <w:tcW w:w="3100" w:type="dxa"/>
            <w:vAlign w:val="center"/>
          </w:tcPr>
          <w:p w:rsidR="00E47247" w:rsidRDefault="003F5351">
            <w:r>
              <w:t>Comasare cu Academia Română, Secția de Științe Tehnice</w:t>
            </w:r>
          </w:p>
        </w:tc>
      </w:tr>
      <w:tr w:rsidR="00E47247">
        <w:tc>
          <w:tcPr>
            <w:tcW w:w="3200" w:type="dxa"/>
            <w:vAlign w:val="center"/>
          </w:tcPr>
          <w:p w:rsidR="00E47247" w:rsidRDefault="003F5351">
            <w:r>
              <w:t>Institutul de Investigare a Crimelor Comunismului și Memoria Exilului Românesc (IICMER)</w:t>
            </w:r>
          </w:p>
        </w:tc>
        <w:tc>
          <w:tcPr>
            <w:tcW w:w="1600" w:type="dxa"/>
            <w:vAlign w:val="center"/>
          </w:tcPr>
          <w:p w:rsidR="00E47247" w:rsidRDefault="003F5351">
            <w:r>
              <w:t>de identificat prin cerere de informații de interes public</w:t>
            </w:r>
          </w:p>
        </w:tc>
        <w:tc>
          <w:tcPr>
            <w:tcW w:w="1600" w:type="dxa"/>
            <w:vAlign w:val="center"/>
          </w:tcPr>
          <w:p w:rsidR="00E47247" w:rsidRDefault="003F5351">
            <w:r>
              <w:t>de estimat</w:t>
            </w:r>
          </w:p>
        </w:tc>
        <w:tc>
          <w:tcPr>
            <w:tcW w:w="3100" w:type="dxa"/>
            <w:vAlign w:val="center"/>
          </w:tcPr>
          <w:p w:rsidR="00E47247" w:rsidRDefault="003F5351">
            <w:r>
              <w:t>Comasare cu Institutul Național pentru Studiul Totalitarismului, sub Academia Română</w:t>
            </w:r>
          </w:p>
        </w:tc>
      </w:tr>
      <w:tr w:rsidR="00E47247">
        <w:tc>
          <w:tcPr>
            <w:tcW w:w="3200" w:type="dxa"/>
            <w:vAlign w:val="center"/>
          </w:tcPr>
          <w:p w:rsidR="00E47247" w:rsidRDefault="003F5351">
            <w:r>
              <w:t>Institutul Național pentru Studierea Holocaustului din România „Elie Wiesel”</w:t>
            </w:r>
          </w:p>
        </w:tc>
        <w:tc>
          <w:tcPr>
            <w:tcW w:w="1600" w:type="dxa"/>
            <w:vAlign w:val="center"/>
          </w:tcPr>
          <w:p w:rsidR="00E47247" w:rsidRDefault="003F5351">
            <w:r>
              <w:t>aprox. 90% din cheltuielile de funcționare provin din subvenție bugetară; 22 de angajați</w:t>
            </w:r>
          </w:p>
        </w:tc>
        <w:tc>
          <w:tcPr>
            <w:tcW w:w="1600" w:type="dxa"/>
            <w:vAlign w:val="center"/>
          </w:tcPr>
          <w:p w:rsidR="00E47247" w:rsidRDefault="003F5351">
            <w:r>
              <w:t>economie din partajarea funcțiilor administrative (contabilitate, resurse umane, achiziții)</w:t>
            </w:r>
          </w:p>
        </w:tc>
        <w:tc>
          <w:tcPr>
            <w:tcW w:w="3100" w:type="dxa"/>
            <w:vAlign w:val="center"/>
          </w:tcPr>
          <w:p w:rsidR="00E47247" w:rsidRDefault="003F5351">
            <w:r w:rsidRPr="00C85FA2">
              <w:rPr>
                <w:b/>
                <w:color w:val="FF0000"/>
              </w:rPr>
              <w:t>Nu se propune desființarea misiunii de cercetare și educație privind Holocaustul, obligatorie și prin acorduri internaționale</w:t>
            </w:r>
            <w:r>
              <w:t>; se propune comasarea funcțiilor administrative-suport cu Institutul Național pentru Studiul Totalitarismului, cu păstrarea autonomiei științifice și a bugetului de proiecte</w:t>
            </w:r>
          </w:p>
        </w:tc>
      </w:tr>
      <w:tr w:rsidR="00E47247">
        <w:tc>
          <w:tcPr>
            <w:tcW w:w="3200" w:type="dxa"/>
            <w:vAlign w:val="center"/>
          </w:tcPr>
          <w:p w:rsidR="00E47247" w:rsidRDefault="003F5351">
            <w:r>
              <w:lastRenderedPageBreak/>
              <w:t>20 de institute și centre din subordinea Academiei Române (filologie, științe economice-juridice-sociale, istorie-arheologie)</w:t>
            </w:r>
          </w:p>
        </w:tc>
        <w:tc>
          <w:tcPr>
            <w:tcW w:w="1600" w:type="dxa"/>
            <w:vAlign w:val="center"/>
          </w:tcPr>
          <w:p w:rsidR="00E47247" w:rsidRDefault="003F5351">
            <w:r>
              <w:t>proces de reorganizare deja aprobat de Academia Română (70 → cca 50 de structuri)</w:t>
            </w:r>
          </w:p>
        </w:tc>
        <w:tc>
          <w:tcPr>
            <w:tcW w:w="1600" w:type="dxa"/>
            <w:vAlign w:val="center"/>
          </w:tcPr>
          <w:p w:rsidR="00E47247" w:rsidRDefault="003F5351">
            <w:r>
              <w:t>economii de funcționare (sedii, contabilitate, administrativ)</w:t>
            </w:r>
          </w:p>
        </w:tc>
        <w:tc>
          <w:tcPr>
            <w:tcW w:w="3100" w:type="dxa"/>
            <w:vAlign w:val="center"/>
          </w:tcPr>
          <w:p w:rsidR="00E47247" w:rsidRDefault="003F5351">
            <w:r>
              <w:t>Susținerea și accelerarea prin lege a reorganizării deja votate de Adunarea Generală a Academiei Române, cu termen ferm de aplicare</w:t>
            </w:r>
          </w:p>
        </w:tc>
      </w:tr>
    </w:tbl>
    <w:p w:rsidR="00E47247" w:rsidRDefault="00E47247">
      <w:pPr>
        <w:spacing w:after="200" w:line="300" w:lineRule="auto"/>
        <w:jc w:val="both"/>
      </w:pPr>
    </w:p>
    <w:p w:rsidR="00E47247" w:rsidRDefault="003F5351">
      <w:pPr>
        <w:spacing w:after="200" w:line="300" w:lineRule="auto"/>
        <w:jc w:val="both"/>
      </w:pPr>
      <w:r>
        <w:rPr>
          <w:i/>
          <w:iCs/>
        </w:rPr>
        <w:t>Notă metodologică: cifrele de buget provin din declarații publice ale instituțiilor, comunicate de presă și dezbateri parlamentare și au caracter estimativ acolo unde nu a fost identificată o sursă bugetară oficială (execuție bugetară sau lege a bugetului de stat pe articol bugetar). Pentru depunerea formală a inițiativei, se recomandă solicitarea execuției bugetare exacte pentru fiecare instituție, prin cerere de informații de interes public în temeiul Legii nr. 544/2001.</w:t>
      </w:r>
    </w:p>
    <w:p w:rsidR="00E47247" w:rsidRDefault="003F5351">
      <w:pPr>
        <w:spacing w:after="200" w:line="300" w:lineRule="auto"/>
        <w:jc w:val="both"/>
      </w:pPr>
      <w:r w:rsidRPr="00C85FA2">
        <w:rPr>
          <w:b/>
          <w:sz w:val="24"/>
          <w:szCs w:val="24"/>
          <w:u w:val="single"/>
        </w:rPr>
        <w:t>Institutul Național pentru Studierea Holocaustului din România „Elie Wiesel” este menționat în tabel exclusiv din perspectiva eficientizării cheltuielilor administrative; prezenta inițiativă nu propune și nu susține desființarea cercetării și educației privind Holocaustul, care rămân obligații asumate de România prin acorduri internaționale și prin legislația internă privind prevenirea discursului</w:t>
      </w:r>
      <w:bookmarkStart w:id="0" w:name="_GoBack"/>
      <w:bookmarkEnd w:id="0"/>
      <w:r w:rsidRPr="00C85FA2">
        <w:rPr>
          <w:b/>
          <w:sz w:val="24"/>
          <w:szCs w:val="24"/>
          <w:u w:val="single"/>
        </w:rPr>
        <w:t xml:space="preserve"> de negare a Holocaustului.</w:t>
      </w:r>
      <w:r>
        <w:rPr>
          <w:sz w:val="24"/>
          <w:szCs w:val="24"/>
        </w:rPr>
        <w:t xml:space="preserve"> Măsura propusă vizează exclusiv partajarea funcțiilor de suport administrativ cu alte instituții de cercetare istorică, pentru reducerea costurilor de funcționare, nu a activității științifice.</w:t>
      </w:r>
    </w:p>
    <w:p w:rsidR="00E47247" w:rsidRDefault="003F5351">
      <w:pPr>
        <w:pStyle w:val="Titlu3"/>
        <w:spacing w:before="360" w:after="200"/>
      </w:pPr>
      <w:r>
        <w:rPr>
          <w:b/>
          <w:bCs/>
        </w:rPr>
        <w:t>1.3.1. Companii și instituții semnalate public ca ineficiente („Statul în stat”)</w:t>
      </w:r>
    </w:p>
    <w:p w:rsidR="00E47247" w:rsidRDefault="003F5351">
      <w:pPr>
        <w:spacing w:after="200" w:line="300" w:lineRule="auto"/>
        <w:jc w:val="both"/>
      </w:pPr>
      <w:r>
        <w:rPr>
          <w:sz w:val="24"/>
          <w:szCs w:val="24"/>
        </w:rPr>
        <w:t xml:space="preserve">Pe lângă institutele de cercetare, investigațiile jurnalistice și rapoartele oficiale au semnalat, în mod repetat, companii și instituții publice a căror activitate se suprapune cu a altor structuri sau care funcționează fără o justificare economică demonstrabilă. </w:t>
      </w:r>
      <w:r w:rsidRPr="00B96BF8">
        <w:rPr>
          <w:b/>
          <w:sz w:val="24"/>
          <w:szCs w:val="24"/>
        </w:rPr>
        <w:t>Exemplele de mai jos, preluate din surse publice, ilustrează un fenomen mai larg, care trebuie tratat sistemic, nu prin cazuri izolate.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500"/>
      </w:tblGrid>
      <w:tr w:rsidR="00E47247">
        <w:trPr>
          <w:tblHeader/>
        </w:trPr>
        <w:tc>
          <w:tcPr>
            <w:tcW w:w="3000" w:type="dxa"/>
            <w:shd w:val="clear" w:color="auto" w:fill="D9D9D9"/>
            <w:vAlign w:val="center"/>
          </w:tcPr>
          <w:p w:rsidR="00E47247" w:rsidRDefault="003F5351">
            <w:r>
              <w:rPr>
                <w:b/>
                <w:bCs/>
              </w:rPr>
              <w:t>Instituție / companie</w:t>
            </w:r>
          </w:p>
        </w:tc>
        <w:tc>
          <w:tcPr>
            <w:tcW w:w="3000" w:type="dxa"/>
            <w:shd w:val="clear" w:color="auto" w:fill="D9D9D9"/>
            <w:vAlign w:val="center"/>
          </w:tcPr>
          <w:p w:rsidR="00E47247" w:rsidRDefault="003F5351">
            <w:r>
              <w:rPr>
                <w:b/>
                <w:bCs/>
              </w:rPr>
              <w:t>Constatare publică</w:t>
            </w:r>
          </w:p>
        </w:tc>
        <w:tc>
          <w:tcPr>
            <w:tcW w:w="3500" w:type="dxa"/>
            <w:shd w:val="clear" w:color="auto" w:fill="D9D9D9"/>
            <w:vAlign w:val="center"/>
          </w:tcPr>
          <w:p w:rsidR="00E47247" w:rsidRDefault="003F5351">
            <w:r>
              <w:rPr>
                <w:b/>
                <w:bCs/>
              </w:rPr>
              <w:t>Măsură propusă</w:t>
            </w:r>
          </w:p>
        </w:tc>
      </w:tr>
      <w:tr w:rsidR="00E47247">
        <w:tc>
          <w:tcPr>
            <w:tcW w:w="3000" w:type="dxa"/>
            <w:vAlign w:val="center"/>
          </w:tcPr>
          <w:p w:rsidR="00E47247" w:rsidRDefault="003F5351">
            <w:r>
              <w:t>Telegondola Mamaia SRL (Ministerul Economiei + Municipiul Constanța)</w:t>
            </w:r>
          </w:p>
        </w:tc>
        <w:tc>
          <w:tcPr>
            <w:tcW w:w="3000" w:type="dxa"/>
            <w:vAlign w:val="center"/>
          </w:tcPr>
          <w:p w:rsidR="00E47247" w:rsidRDefault="003F5351">
            <w:r>
              <w:t>Funcționează efectiv 4 luni pe an; consiliu de administrație cu 5 membri remunerați indiferent de sezon, pe lângă 11 angajați operaționali</w:t>
            </w:r>
          </w:p>
        </w:tc>
        <w:tc>
          <w:tcPr>
            <w:tcW w:w="3500" w:type="dxa"/>
            <w:vAlign w:val="center"/>
          </w:tcPr>
          <w:p w:rsidR="00E47247" w:rsidRDefault="003F5351">
            <w:r>
              <w:t>Reorganizare ca activitate sezonieră externalizată prin concesiune, cu desființarea consiliului de administrație permanent</w:t>
            </w:r>
          </w:p>
        </w:tc>
      </w:tr>
      <w:tr w:rsidR="00E47247">
        <w:tc>
          <w:tcPr>
            <w:tcW w:w="3000" w:type="dxa"/>
            <w:vAlign w:val="center"/>
          </w:tcPr>
          <w:p w:rsidR="00E47247" w:rsidRDefault="003F5351">
            <w:r>
              <w:t>Centrul Național de Învățământ Turistic (CNIT) – Ministerul Economiei</w:t>
            </w:r>
          </w:p>
        </w:tc>
        <w:tc>
          <w:tcPr>
            <w:tcW w:w="3000" w:type="dxa"/>
            <w:vAlign w:val="center"/>
          </w:tcPr>
          <w:p w:rsidR="00E47247" w:rsidRDefault="003F5351">
            <w:r>
              <w:t>Cost mediu de peste 19.000 lei/lună per cursant la doar două cursuri organizate într-un an</w:t>
            </w:r>
          </w:p>
        </w:tc>
        <w:tc>
          <w:tcPr>
            <w:tcW w:w="3500" w:type="dxa"/>
            <w:vAlign w:val="center"/>
          </w:tcPr>
          <w:p w:rsidR="00E47247" w:rsidRDefault="003F5351">
            <w:r>
              <w:t>Comasare cu structurile de formare profesională ale Ministerului Muncii sau desființare</w:t>
            </w:r>
          </w:p>
        </w:tc>
      </w:tr>
      <w:tr w:rsidR="00E47247">
        <w:tc>
          <w:tcPr>
            <w:tcW w:w="3000" w:type="dxa"/>
            <w:vAlign w:val="center"/>
          </w:tcPr>
          <w:p w:rsidR="00E47247" w:rsidRDefault="003F5351">
            <w:r>
              <w:t>Autoritatea pentru Reformă Feroviară (ARF)</w:t>
            </w:r>
          </w:p>
        </w:tc>
        <w:tc>
          <w:tcPr>
            <w:tcW w:w="3000" w:type="dxa"/>
            <w:vAlign w:val="center"/>
          </w:tcPr>
          <w:p w:rsidR="00E47247" w:rsidRDefault="003F5351">
            <w:r>
              <w:t>Înființată în 2016 pentru achiziția de trenuri noi cu fonduri europene; patru ani de funcționare fără nicio achiziție finalizată; 79 de posturi bugetate, 9 de conducere</w:t>
            </w:r>
          </w:p>
        </w:tc>
        <w:tc>
          <w:tcPr>
            <w:tcW w:w="3500" w:type="dxa"/>
            <w:vAlign w:val="center"/>
          </w:tcPr>
          <w:p w:rsidR="00E47247" w:rsidRDefault="003F5351">
            <w:r>
              <w:t>Desființare și preluarea atribuțiilor reale de către Ministerul Transporturilor</w:t>
            </w:r>
          </w:p>
        </w:tc>
      </w:tr>
      <w:tr w:rsidR="00E47247">
        <w:tc>
          <w:tcPr>
            <w:tcW w:w="3000" w:type="dxa"/>
            <w:vAlign w:val="center"/>
          </w:tcPr>
          <w:p w:rsidR="00E47247" w:rsidRDefault="003F5351">
            <w:r>
              <w:t>Companiile municipale ale Primăriei București (Parcuri și Grădini, Managementul Traficului, Parking București ș.a.)</w:t>
            </w:r>
          </w:p>
        </w:tc>
        <w:tc>
          <w:tcPr>
            <w:tcW w:w="3000" w:type="dxa"/>
            <w:vAlign w:val="center"/>
          </w:tcPr>
          <w:p w:rsidR="00E47247" w:rsidRDefault="003F5351">
            <w:r>
              <w:t>Patru instituții realizează activități care, anterior, erau realizate de o singură direcție (ALPAB, Administrația Străzilor); dublare de personal și bugete</w:t>
            </w:r>
          </w:p>
        </w:tc>
        <w:tc>
          <w:tcPr>
            <w:tcW w:w="3500" w:type="dxa"/>
            <w:vAlign w:val="center"/>
          </w:tcPr>
          <w:p w:rsidR="00E47247" w:rsidRDefault="003F5351">
            <w:r>
              <w:t>Comasare cu direcțiile de origine sau desființare, cu revenirea activității la o singură structură</w:t>
            </w:r>
          </w:p>
        </w:tc>
      </w:tr>
      <w:tr w:rsidR="00E47247">
        <w:tc>
          <w:tcPr>
            <w:tcW w:w="3000" w:type="dxa"/>
            <w:vAlign w:val="center"/>
          </w:tcPr>
          <w:p w:rsidR="00E47247" w:rsidRDefault="003F5351">
            <w:r>
              <w:t>Autoritatea Teritorială de Ordine Publică (structură județeană)</w:t>
            </w:r>
          </w:p>
        </w:tc>
        <w:tc>
          <w:tcPr>
            <w:tcW w:w="3000" w:type="dxa"/>
            <w:vAlign w:val="center"/>
          </w:tcPr>
          <w:p w:rsidR="00E47247" w:rsidRDefault="003F5351">
            <w:r>
              <w:t xml:space="preserve">Rol pur consultativ; activitate redusă la câteva ședințe pe an, cu indemnizații suplimentare pentru </w:t>
            </w:r>
            <w:r>
              <w:lastRenderedPageBreak/>
              <w:t>membri care sunt deja salarizați la alte instituții publice</w:t>
            </w:r>
          </w:p>
        </w:tc>
        <w:tc>
          <w:tcPr>
            <w:tcW w:w="3500" w:type="dxa"/>
            <w:vAlign w:val="center"/>
          </w:tcPr>
          <w:p w:rsidR="00E47247" w:rsidRDefault="003F5351">
            <w:r>
              <w:lastRenderedPageBreak/>
              <w:t>Desființare; atribuțiile reziduale preluate de consiliul județean și de Reprezentantul Special teritorial</w:t>
            </w:r>
          </w:p>
        </w:tc>
      </w:tr>
      <w:tr w:rsidR="00E47247">
        <w:tc>
          <w:tcPr>
            <w:tcW w:w="3000" w:type="dxa"/>
            <w:vAlign w:val="center"/>
          </w:tcPr>
          <w:p w:rsidR="00E47247" w:rsidRDefault="003F5351">
            <w:r>
              <w:t>Companii de stat inactive sau „fantomă” (ex. Societatea de Strategie pentru Piața de Gros, în coordonarea AAAS)</w:t>
            </w:r>
          </w:p>
        </w:tc>
        <w:tc>
          <w:tcPr>
            <w:tcW w:w="3000" w:type="dxa"/>
            <w:vAlign w:val="center"/>
          </w:tcPr>
          <w:p w:rsidR="00E47247" w:rsidRDefault="003F5351">
            <w:r>
              <w:t>Fără activitate, fără angajați, fără sediu real; parte dintr-un fond estimat la peste 1.700 de companii de stat, fără o evidență centralizată completă</w:t>
            </w:r>
          </w:p>
        </w:tc>
        <w:tc>
          <w:tcPr>
            <w:tcW w:w="3500" w:type="dxa"/>
            <w:vAlign w:val="center"/>
          </w:tcPr>
          <w:p w:rsidR="00E47247" w:rsidRDefault="003F5351">
            <w:r>
              <w:t>Inventariere obligatorie într-un termen legal fix și lichidare pentru toate companiile fără activitate economică reală</w:t>
            </w:r>
          </w:p>
        </w:tc>
      </w:tr>
    </w:tbl>
    <w:p w:rsidR="00E47247" w:rsidRDefault="00E47247">
      <w:pPr>
        <w:spacing w:after="200" w:line="300" w:lineRule="auto"/>
        <w:jc w:val="both"/>
      </w:pPr>
    </w:p>
    <w:p w:rsidR="00E47247" w:rsidRDefault="003F5351">
      <w:pPr>
        <w:spacing w:after="200" w:line="300" w:lineRule="auto"/>
        <w:jc w:val="both"/>
      </w:pPr>
      <w:r>
        <w:rPr>
          <w:i/>
          <w:iCs/>
        </w:rPr>
        <w:t>Notă metodologică: aceste exemple sunt ilustrative pentru un fenomen sistemic (dublarea structurilor, companii fără activitate reală, indemnizații pentru organisme pur consultative). Guvernul nu deține, potrivit propriilor declarații, o evidență centralizată completă a tuturor companiilor de stat, ceea ce face necesară, ca primă măsură legislativă, obligația de inventariere completă înainte de orice decizie de lichidare punctuală.</w:t>
      </w:r>
    </w:p>
    <w:p w:rsidR="00E47247" w:rsidRDefault="003F5351">
      <w:pPr>
        <w:pStyle w:val="Titlu3"/>
        <w:spacing w:before="360" w:after="200"/>
      </w:pPr>
      <w:r>
        <w:rPr>
          <w:b/>
          <w:bCs/>
        </w:rPr>
        <w:t>Atenționare privind desființarea Autorității pentru Reformă Feroviară (ARF)</w:t>
      </w:r>
    </w:p>
    <w:p w:rsidR="00E47247" w:rsidRDefault="003F5351">
      <w:pPr>
        <w:spacing w:after="200" w:line="300" w:lineRule="auto"/>
        <w:jc w:val="both"/>
      </w:pPr>
      <w:r>
        <w:rPr>
          <w:i/>
          <w:iCs/>
        </w:rPr>
        <w:t>Desființarea ARF, propusă la Capitolul II, trebuie tratată cu prudență juridică sporită față de un simplu „cadavru administrativ”: instituția a evoluat de la criticile din 2020–2021 privind lipsa de rezultate la rolul actual de autoritate competentă care a atribuit, în baza Hotărârii Guvernului nr. 1453/2022, contracte de servicii publice pe termen lung (decembrie 2022 – decembrie 2032) cu cei șase operatori feroviari de călători, și de autoritate contractantă pentru achiziții de material rulant finanțate din fonduri europene nerambursabile (inclusiv o finanțare de 204 milioane euro din Fondul de Modernizare, confirmată de Banca Europeană de Investiții). Desființarea instituției, ca atare, nu contravine unei norme europene exprese care ar impune păstrarea ei sub această formă juridică — funcția de autoritate competentă poate fi exercitată direct de minister —, dar o desființare fără o clauză de succesiune universală riscă să afecteze continuitatea juridică a contractelor de servicii publice aflate în derulare până în 2032 și a angajamentelor de finanțare europeană aflate în implementare, cu posibile consecințe asupra absorbției fondurilor și asupra operatorilor feroviari care depind de subvențiile administrate de ARF. Din acest motiv, art. 13 din prezenta inițiativă prevede expres preluarea, ca succesor universal, a tuturor drepturilor și obligațiilor ARF de către Ministerul Transporturilor și Infrastructurii, fără întrerupere de continuitate.</w:t>
      </w:r>
    </w:p>
    <w:p w:rsidR="00E47247" w:rsidRDefault="003F5351">
      <w:pPr>
        <w:pStyle w:val="Titlu3"/>
        <w:spacing w:before="360" w:after="200"/>
      </w:pPr>
      <w:r>
        <w:rPr>
          <w:b/>
          <w:bCs/>
        </w:rPr>
        <w:t>1.3.2. Instituții centrale suprapuse privind minoritățile și diaspora română</w:t>
      </w:r>
    </w:p>
    <w:p w:rsidR="00E47247" w:rsidRDefault="003F5351">
      <w:pPr>
        <w:spacing w:after="200" w:line="300" w:lineRule="auto"/>
        <w:jc w:val="both"/>
      </w:pPr>
      <w:r>
        <w:rPr>
          <w:sz w:val="24"/>
          <w:szCs w:val="24"/>
        </w:rPr>
        <w:t>Coordonarea de către Guvern, direct sau prin Secretariatul General al Guvernului și Cancelaria Prim-Ministrului, a unui număr mare de agenții, departamente și institute cu obiect de activitate identic sau foarte apropiat generează, și în acest domeniu, costuri administrative duplicate, independent de comasările deja propuse la punctul 1.3 pentru institutele de cercetare istorică.</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300"/>
        <w:gridCol w:w="3000"/>
      </w:tblGrid>
      <w:tr w:rsidR="00E47247">
        <w:trPr>
          <w:tblHeader/>
        </w:trPr>
        <w:tc>
          <w:tcPr>
            <w:tcW w:w="3200" w:type="dxa"/>
            <w:shd w:val="clear" w:color="auto" w:fill="D9D9D9"/>
            <w:vAlign w:val="center"/>
          </w:tcPr>
          <w:p w:rsidR="00E47247" w:rsidRDefault="003F5351">
            <w:r>
              <w:rPr>
                <w:b/>
                <w:bCs/>
              </w:rPr>
              <w:t>Instituție</w:t>
            </w:r>
          </w:p>
        </w:tc>
        <w:tc>
          <w:tcPr>
            <w:tcW w:w="3300" w:type="dxa"/>
            <w:shd w:val="clear" w:color="auto" w:fill="D9D9D9"/>
            <w:vAlign w:val="center"/>
          </w:tcPr>
          <w:p w:rsidR="00E47247" w:rsidRDefault="003F5351">
            <w:r>
              <w:rPr>
                <w:b/>
                <w:bCs/>
              </w:rPr>
              <w:t>Atribuții / subordonare actuală</w:t>
            </w:r>
          </w:p>
        </w:tc>
        <w:tc>
          <w:tcPr>
            <w:tcW w:w="3000" w:type="dxa"/>
            <w:shd w:val="clear" w:color="auto" w:fill="D9D9D9"/>
            <w:vAlign w:val="center"/>
          </w:tcPr>
          <w:p w:rsidR="00E47247" w:rsidRDefault="003F5351">
            <w:r>
              <w:rPr>
                <w:b/>
                <w:bCs/>
              </w:rPr>
              <w:t>Suprapunere și măsură propusă</w:t>
            </w:r>
          </w:p>
        </w:tc>
      </w:tr>
      <w:tr w:rsidR="00E47247">
        <w:tc>
          <w:tcPr>
            <w:tcW w:w="3200" w:type="dxa"/>
            <w:vAlign w:val="center"/>
          </w:tcPr>
          <w:p w:rsidR="00E47247" w:rsidRDefault="003F5351">
            <w:r>
              <w:t>Institutul „Eudoxiu Hurmuzachi” pentru Românii de Pretutindeni</w:t>
            </w:r>
          </w:p>
        </w:tc>
        <w:tc>
          <w:tcPr>
            <w:tcW w:w="3300" w:type="dxa"/>
            <w:vAlign w:val="center"/>
          </w:tcPr>
          <w:p w:rsidR="00E47247" w:rsidRDefault="003F5351">
            <w:r>
              <w:t>Program educațional și de sprijin pentru tinerii etnici români din afara granițelor; subordonat Ministerului pentru Românii de Pretutindeni</w:t>
            </w:r>
          </w:p>
        </w:tc>
        <w:tc>
          <w:tcPr>
            <w:tcW w:w="3000" w:type="dxa"/>
            <w:vAlign w:val="center"/>
          </w:tcPr>
          <w:p w:rsidR="00E47247" w:rsidRDefault="003F5351">
            <w:r>
              <w:t>Suprapunere cu Departamentul pentru Românii de Pretutindeni și cu componenta de diplomație culturală a Institutului Cultural Român; se propune comasarea într-o singură structură, fără dublarea conducerii și a aparatului administrativ</w:t>
            </w:r>
          </w:p>
        </w:tc>
      </w:tr>
      <w:tr w:rsidR="00E47247">
        <w:tc>
          <w:tcPr>
            <w:tcW w:w="3200" w:type="dxa"/>
            <w:vAlign w:val="center"/>
          </w:tcPr>
          <w:p w:rsidR="00E47247" w:rsidRDefault="003F5351">
            <w:r>
              <w:t>Ministerul / Departamentul pentru Românii de Pretutindeni</w:t>
            </w:r>
          </w:p>
        </w:tc>
        <w:tc>
          <w:tcPr>
            <w:tcW w:w="3300" w:type="dxa"/>
            <w:vAlign w:val="center"/>
          </w:tcPr>
          <w:p w:rsidR="00E47247" w:rsidRDefault="003F5351">
            <w:r>
              <w:t>Politici și finanțări pentru comunitățile românești din afara granițelor; a fost desființat și reînființat succesiv din 2019 până în prezent</w:t>
            </w:r>
          </w:p>
        </w:tc>
        <w:tc>
          <w:tcPr>
            <w:tcW w:w="3000" w:type="dxa"/>
            <w:vAlign w:val="center"/>
          </w:tcPr>
          <w:p w:rsidR="00E47247" w:rsidRDefault="003F5351">
            <w:r>
              <w:t>Instabilitate instituțională repetată; se propune o singură structură stabilă, cu personalitate juridică unică, care să absoarbă atribuțiile Institutului Hurmuzachi</w:t>
            </w:r>
          </w:p>
        </w:tc>
      </w:tr>
      <w:tr w:rsidR="00E47247">
        <w:tc>
          <w:tcPr>
            <w:tcW w:w="3200" w:type="dxa"/>
            <w:vAlign w:val="center"/>
          </w:tcPr>
          <w:p w:rsidR="00E47247" w:rsidRDefault="003F5351">
            <w:r>
              <w:lastRenderedPageBreak/>
              <w:t>Agenția Națională pentru Romi și Centrul Național de Cultură al Romilor „Romano-Kher”</w:t>
            </w:r>
          </w:p>
        </w:tc>
        <w:tc>
          <w:tcPr>
            <w:tcW w:w="3300" w:type="dxa"/>
            <w:vAlign w:val="center"/>
          </w:tcPr>
          <w:p w:rsidR="00E47247" w:rsidRDefault="003F5351">
            <w:r>
              <w:t>Politici publice pentru minoritatea romă, respectiv activitate culturală subordonată Agenției</w:t>
            </w:r>
          </w:p>
        </w:tc>
        <w:tc>
          <w:tcPr>
            <w:tcW w:w="3000" w:type="dxa"/>
            <w:vAlign w:val="center"/>
          </w:tcPr>
          <w:p w:rsidR="00E47247" w:rsidRDefault="003F5351">
            <w:r>
              <w:t>Structură cu două niveluri de conducere pentru același grup-țintă; se propune comasarea Centrului în cadrul Agenției, fără personalitate juridică separată</w:t>
            </w:r>
          </w:p>
        </w:tc>
      </w:tr>
      <w:tr w:rsidR="00E47247">
        <w:tc>
          <w:tcPr>
            <w:tcW w:w="3200" w:type="dxa"/>
            <w:vAlign w:val="center"/>
          </w:tcPr>
          <w:p w:rsidR="00E47247" w:rsidRDefault="003F5351">
            <w:r>
              <w:t>Secretariatul de Stat pentru Culte</w:t>
            </w:r>
          </w:p>
        </w:tc>
        <w:tc>
          <w:tcPr>
            <w:tcW w:w="3300" w:type="dxa"/>
            <w:vAlign w:val="center"/>
          </w:tcPr>
          <w:p w:rsidR="00E47247" w:rsidRDefault="003F5351">
            <w:r>
              <w:t>Relația statului cu cultele religioase recunoscute</w:t>
            </w:r>
          </w:p>
        </w:tc>
        <w:tc>
          <w:tcPr>
            <w:tcW w:w="3000" w:type="dxa"/>
            <w:vAlign w:val="center"/>
          </w:tcPr>
          <w:p w:rsidR="00E47247" w:rsidRDefault="003F5351">
            <w:r>
              <w:t>Se recomandă analiza suprapunerii cu atribuțiile culturale ale altor structuri coordonate de Secretariatul General al Guvernului, fără a afecta finanțarea cultelor</w:t>
            </w:r>
          </w:p>
        </w:tc>
      </w:tr>
    </w:tbl>
    <w:p w:rsidR="00E47247" w:rsidRDefault="00E47247">
      <w:pPr>
        <w:spacing w:after="200" w:line="300" w:lineRule="auto"/>
        <w:jc w:val="both"/>
      </w:pPr>
    </w:p>
    <w:p w:rsidR="00E47247" w:rsidRDefault="003F5351">
      <w:pPr>
        <w:spacing w:after="200" w:line="300" w:lineRule="auto"/>
        <w:jc w:val="both"/>
      </w:pPr>
      <w:r>
        <w:rPr>
          <w:i/>
          <w:iCs/>
        </w:rPr>
        <w:t>Notă metodologică: Institutul „Eudoxiu Hurmuzachi” a fost, de altfel, desființat o dată prin ordonanță de urgență în 2019 și comasat într-un Departament pentru Românii de Pretutindeni fără personalitate juridică, subordonat direct prim-ministrului, exact pe modelul de eficientizare propus aici; instituția a fost ulterior reînființată cu personalitate juridică proprie, sub un minister dedicat, ceea ce arată că fenomenul de multiplicare instituțională se poate repeta ciclic în absența unei reforme legislative stabile, nu doar administrative.</w:t>
      </w:r>
    </w:p>
    <w:p w:rsidR="00E47247" w:rsidRDefault="003F5351">
      <w:pPr>
        <w:pStyle w:val="Titlu2"/>
        <w:spacing w:before="360" w:after="200"/>
      </w:pPr>
      <w:r>
        <w:rPr>
          <w:b/>
          <w:bCs/>
          <w:sz w:val="24"/>
          <w:szCs w:val="24"/>
        </w:rPr>
        <w:t>1.4. Reforma reprezentării parlamentare a minorităților naționale</w:t>
      </w:r>
    </w:p>
    <w:p w:rsidR="00E47247" w:rsidRDefault="003F5351">
      <w:pPr>
        <w:spacing w:after="200" w:line="300" w:lineRule="auto"/>
        <w:jc w:val="both"/>
      </w:pPr>
      <w:r>
        <w:rPr>
          <w:sz w:val="24"/>
          <w:szCs w:val="24"/>
        </w:rPr>
        <w:t>Costul anual al reprezentării politice a minorităților naționale a depășit, potrivit datelor publice, bugetul anual al partidelor politice parlamentare, situație care impune o reformă a modului de exercitare a mandatelor, fără afectarea garanției constituționale de reprezentare.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2500"/>
        <w:gridCol w:w="2500"/>
      </w:tblGrid>
      <w:tr w:rsidR="00E47247">
        <w:trPr>
          <w:tblHeader/>
        </w:trPr>
        <w:tc>
          <w:tcPr>
            <w:tcW w:w="4500" w:type="dxa"/>
            <w:shd w:val="clear" w:color="auto" w:fill="D9D9D9"/>
            <w:vAlign w:val="center"/>
          </w:tcPr>
          <w:p w:rsidR="00E47247" w:rsidRDefault="003F5351">
            <w:r>
              <w:rPr>
                <w:b/>
                <w:bCs/>
              </w:rPr>
              <w:t>Indicator</w:t>
            </w:r>
          </w:p>
        </w:tc>
        <w:tc>
          <w:tcPr>
            <w:tcW w:w="2500" w:type="dxa"/>
            <w:shd w:val="clear" w:color="auto" w:fill="D9D9D9"/>
            <w:vAlign w:val="center"/>
          </w:tcPr>
          <w:p w:rsidR="00E47247" w:rsidRDefault="003F5351">
            <w:r>
              <w:rPr>
                <w:b/>
                <w:bCs/>
              </w:rPr>
              <w:t>Situație actuală</w:t>
            </w:r>
          </w:p>
        </w:tc>
        <w:tc>
          <w:tcPr>
            <w:tcW w:w="2500" w:type="dxa"/>
            <w:shd w:val="clear" w:color="auto" w:fill="D9D9D9"/>
            <w:vAlign w:val="center"/>
          </w:tcPr>
          <w:p w:rsidR="00E47247" w:rsidRDefault="003F5351">
            <w:r>
              <w:rPr>
                <w:b/>
                <w:bCs/>
              </w:rPr>
              <w:t>Observație</w:t>
            </w:r>
          </w:p>
        </w:tc>
      </w:tr>
      <w:tr w:rsidR="00E47247">
        <w:tc>
          <w:tcPr>
            <w:tcW w:w="4500" w:type="dxa"/>
            <w:vAlign w:val="center"/>
          </w:tcPr>
          <w:p w:rsidR="00E47247" w:rsidRDefault="003F5351">
            <w:r>
              <w:t>Buget total anual pentru organizațiile minorităților naționale (subvenții, indemnizații, birouri parlamentare)</w:t>
            </w:r>
          </w:p>
        </w:tc>
        <w:tc>
          <w:tcPr>
            <w:tcW w:w="2500" w:type="dxa"/>
            <w:vAlign w:val="center"/>
          </w:tcPr>
          <w:p w:rsidR="00E47247" w:rsidRDefault="003F5351">
            <w:r>
              <w:t>cca 296 mil. lei (2025)</w:t>
            </w:r>
          </w:p>
        </w:tc>
        <w:tc>
          <w:tcPr>
            <w:tcW w:w="2500" w:type="dxa"/>
            <w:vAlign w:val="center"/>
          </w:tcPr>
          <w:p w:rsidR="00E47247" w:rsidRDefault="003F5351">
            <w:r>
              <w:t>Depășește bugetul anual total al partidelor politice parlamentare (cca 290 mil. lei)</w:t>
            </w:r>
          </w:p>
        </w:tc>
      </w:tr>
      <w:tr w:rsidR="00E47247">
        <w:tc>
          <w:tcPr>
            <w:tcW w:w="4500" w:type="dxa"/>
            <w:vAlign w:val="center"/>
          </w:tcPr>
          <w:p w:rsidR="00E47247" w:rsidRDefault="003F5351">
            <w:r>
              <w:t>Exemplu: Asociația Italienilor din România – RO.AS.IT.</w:t>
            </w:r>
          </w:p>
        </w:tc>
        <w:tc>
          <w:tcPr>
            <w:tcW w:w="2500" w:type="dxa"/>
            <w:vAlign w:val="center"/>
          </w:tcPr>
          <w:p w:rsidR="00E47247" w:rsidRDefault="003F5351">
            <w:r>
              <w:t>cca 4,32 mil. lei/an</w:t>
            </w:r>
          </w:p>
        </w:tc>
        <w:tc>
          <w:tcPr>
            <w:tcW w:w="2500" w:type="dxa"/>
            <w:vAlign w:val="center"/>
          </w:tcPr>
          <w:p w:rsidR="00E47247" w:rsidRDefault="003F5351">
            <w:r>
              <w:t>Sumă recurentă, nu alocare punctuală; similară ca ordin de mărime cu alte organizații mici ca populație reprezentată</w:t>
            </w:r>
          </w:p>
        </w:tc>
      </w:tr>
      <w:tr w:rsidR="00E47247">
        <w:tc>
          <w:tcPr>
            <w:tcW w:w="4500" w:type="dxa"/>
            <w:vAlign w:val="center"/>
          </w:tcPr>
          <w:p w:rsidR="00E47247" w:rsidRDefault="003F5351">
            <w:r>
              <w:t>Locuri de deputat garantate minorităților care nu ating pragul electoral (art. 62 alin. 2 din Constituție)</w:t>
            </w:r>
          </w:p>
        </w:tc>
        <w:tc>
          <w:tcPr>
            <w:tcW w:w="2500" w:type="dxa"/>
            <w:vAlign w:val="center"/>
          </w:tcPr>
          <w:p w:rsidR="00E47247" w:rsidRDefault="003F5351">
            <w:r>
              <w:t>aprox. 17 organizații reprezentate</w:t>
            </w:r>
          </w:p>
        </w:tc>
        <w:tc>
          <w:tcPr>
            <w:tcW w:w="2500" w:type="dxa"/>
            <w:vAlign w:val="center"/>
          </w:tcPr>
          <w:p w:rsidR="00E47247" w:rsidRDefault="003F5351">
            <w:r>
              <w:t>Fiecare organizație are dreptul la câte un loc de deputat; Constituția nu precizează durata sau modul de exercitare a mandatului</w:t>
            </w:r>
          </w:p>
        </w:tc>
      </w:tr>
    </w:tbl>
    <w:p w:rsidR="00E47247" w:rsidRDefault="00E47247">
      <w:pPr>
        <w:spacing w:after="200" w:line="300" w:lineRule="auto"/>
        <w:jc w:val="both"/>
      </w:pPr>
    </w:p>
    <w:p w:rsidR="00E47247" w:rsidRDefault="003F5351">
      <w:pPr>
        <w:pStyle w:val="Titlu3"/>
        <w:spacing w:before="360" w:after="200"/>
      </w:pPr>
      <w:r>
        <w:rPr>
          <w:b/>
          <w:bCs/>
        </w:rPr>
        <w:t>Fundamentare constituțională</w:t>
      </w:r>
    </w:p>
    <w:p w:rsidR="00E47247" w:rsidRDefault="003F5351">
      <w:pPr>
        <w:spacing w:after="200" w:line="300" w:lineRule="auto"/>
        <w:jc w:val="both"/>
      </w:pPr>
      <w:r>
        <w:rPr>
          <w:sz w:val="24"/>
          <w:szCs w:val="24"/>
        </w:rPr>
        <w:t>Articolul 62 alineatul (2) din Constituția României prevede: „Organizațiile cetățenilor aparținând minorităților naționale, care nu întrunesc în alegeri numărul de voturi pentru a fi reprezentate în Parlament, au dreptul la câte un loc de deputat, în condițiile legii electorale.” Norma constituțională garantează existența locului de deputat, dar trimite expres către legea electorală pentru reglementarea condițiilor de exercitare a acestuia. Constituția nu stabilește durata de exercitare a mandatului de către o singură persoană și nu interzice o formulă de partajare a exercitării, atâta vreme cât locul rămâne ocupat continuu de un reprezentant validat al organizației îndreptățite.</w:t>
      </w:r>
    </w:p>
    <w:p w:rsidR="00E47247" w:rsidRDefault="003F5351">
      <w:pPr>
        <w:spacing w:after="200" w:line="300" w:lineRule="auto"/>
        <w:jc w:val="both"/>
        <w:rPr>
          <w:sz w:val="24"/>
          <w:szCs w:val="24"/>
        </w:rPr>
      </w:pPr>
      <w:r w:rsidRPr="00B96BF8">
        <w:rPr>
          <w:b/>
          <w:sz w:val="24"/>
          <w:szCs w:val="24"/>
        </w:rPr>
        <w:t xml:space="preserve">Prezenta inițiativă propune ca cele aproximativ 17 organizații ale minorităților naționale îndreptățite la câte un loc de deputat potrivit art. 62 alin. (2) să fie grupate, prin legea electorală, </w:t>
      </w:r>
      <w:r w:rsidRPr="00B96BF8">
        <w:rPr>
          <w:b/>
          <w:sz w:val="24"/>
          <w:szCs w:val="24"/>
        </w:rPr>
        <w:lastRenderedPageBreak/>
        <w:t>în 3 tranșe de rotație — de 6, 6 și, respectiv, 5 organizații — care exercită consecutiv, pe perioade egale de aproximativ 16 luni din mandatul de 4 ani, calitatea de deputat, cu drepturi și obligații depline pe durata exercitării efective (indemnizație, imunitate, drept de vot, drept la inițiativă legislativă).</w:t>
      </w:r>
      <w:r>
        <w:rPr>
          <w:sz w:val="24"/>
          <w:szCs w:val="24"/>
        </w:rPr>
        <w:t xml:space="preserve"> Grupul parlamentar al minorităților naționale rămâne compus, ca reprezentare formală și consultativă, din toate cele 17 organizații, însă numărul de deputați activi și remunerați simultan din partea minorităților scade, în funcție de tranșă, de la 17 la 6, respectiv 5, reducând proporțional costurile bugetare aferente (indemnizații, birouri parlamentare, personal auxiliar).</w:t>
      </w:r>
    </w:p>
    <w:p w:rsidR="00B96BF8" w:rsidRPr="00B96BF8" w:rsidRDefault="00B96BF8">
      <w:pPr>
        <w:spacing w:after="200" w:line="300" w:lineRule="auto"/>
        <w:jc w:val="both"/>
        <w:rPr>
          <w:sz w:val="24"/>
          <w:szCs w:val="24"/>
        </w:rPr>
      </w:pPr>
      <w:r w:rsidRPr="00B96BF8">
        <w:rPr>
          <w:sz w:val="24"/>
          <w:szCs w:val="24"/>
        </w:rPr>
        <w:t xml:space="preserve">Trebuie să </w:t>
      </w:r>
      <w:r>
        <w:rPr>
          <w:sz w:val="24"/>
          <w:szCs w:val="24"/>
        </w:rPr>
        <w:t xml:space="preserve">menționăm și o </w:t>
      </w:r>
      <w:proofErr w:type="gramStart"/>
      <w:r>
        <w:rPr>
          <w:sz w:val="24"/>
          <w:szCs w:val="24"/>
        </w:rPr>
        <w:t>realitate ”statistică</w:t>
      </w:r>
      <w:proofErr w:type="gramEnd"/>
      <w:r>
        <w:rPr>
          <w:sz w:val="24"/>
          <w:szCs w:val="24"/>
        </w:rPr>
        <w:t>”…desi numărul de parlamentari scade ca urmare a reducerii populației/electoratului din România, numărul parlamentarilor minorităților naționale rămâne același, ducând la denaturarea, reală, a votului și chiar a democrației, pentru că o pondere mai mare (falsă și nevalidată electoral) conduce la anumite majorități parlamentare contrare votului popular.</w:t>
      </w:r>
    </w:p>
    <w:p w:rsidR="00E47247" w:rsidRDefault="00B96BF8">
      <w:pPr>
        <w:spacing w:after="200" w:line="300" w:lineRule="auto"/>
        <w:jc w:val="both"/>
      </w:pPr>
      <w:r>
        <w:rPr>
          <w:b/>
          <w:bCs/>
          <w:sz w:val="24"/>
          <w:szCs w:val="24"/>
        </w:rPr>
        <w:t>Știm și apreciem că există r</w:t>
      </w:r>
      <w:r w:rsidR="003F5351">
        <w:rPr>
          <w:b/>
          <w:bCs/>
          <w:sz w:val="24"/>
          <w:szCs w:val="24"/>
        </w:rPr>
        <w:t>iscuri juridice care trebuie gestionate în redactarea legii electorale:</w:t>
      </w:r>
    </w:p>
    <w:p w:rsidR="00E47247" w:rsidRDefault="003F5351">
      <w:pPr>
        <w:spacing w:after="200" w:line="300" w:lineRule="auto"/>
        <w:jc w:val="both"/>
      </w:pPr>
      <w:r>
        <w:rPr>
          <w:sz w:val="24"/>
          <w:szCs w:val="24"/>
        </w:rPr>
        <w:t>(a) Articolul 69 din Constituție consacră mandatul reprezentativ, exercitat personal, „în serviciul poporului”; o formulă de rotație nu creează un mandat imperativ interzis de acest articol, dar trebuie redactată astfel încât fiecare tranșă de exercitare să confere drepturi depline și neîngrădite, pentru a nu se putea susține că mandatul este golit de conținut.</w:t>
      </w:r>
    </w:p>
    <w:p w:rsidR="00E47247" w:rsidRDefault="003F5351">
      <w:pPr>
        <w:spacing w:after="200" w:line="300" w:lineRule="auto"/>
        <w:jc w:val="both"/>
      </w:pPr>
      <w:r>
        <w:rPr>
          <w:sz w:val="24"/>
          <w:szCs w:val="24"/>
        </w:rPr>
        <w:t>(b) Nu există precedent în dreptul parlamentar românesc pentru o formulă de mandat rotativ pe același loc.</w:t>
      </w:r>
    </w:p>
    <w:p w:rsidR="00E47247" w:rsidRDefault="003F5351">
      <w:pPr>
        <w:pStyle w:val="Titlu2"/>
        <w:spacing w:before="360" w:after="200"/>
      </w:pPr>
      <w:r>
        <w:rPr>
          <w:b/>
          <w:bCs/>
          <w:sz w:val="24"/>
          <w:szCs w:val="24"/>
        </w:rPr>
        <w:t>1.5. Reducerea costurilor de funcționare a Parlamentului</w:t>
      </w:r>
    </w:p>
    <w:p w:rsidR="00E47247" w:rsidRDefault="003F5351">
      <w:pPr>
        <w:spacing w:after="200" w:line="300" w:lineRule="auto"/>
        <w:jc w:val="both"/>
      </w:pPr>
      <w:r>
        <w:rPr>
          <w:sz w:val="24"/>
          <w:szCs w:val="24"/>
        </w:rPr>
        <w:t>România are, potrivit legii electorale în vigoare, un Parlament bicameral cu un număr total de parlamentari comparabil, ca ordin de mărime, cu cel al Congresului Statelor Unite ale Americii, la o populație de aproximativ 18 milioane de locuitori, față de peste 330 de milioane în cazul SUA. Prezenta inițiativă propune ca, printr-o reformă a legii electorale, corelată cu reforma reprezentării minorităților descrisă la punctul 1.4, numărul total de parlamentari și costurile de funcționare aferente (indemnizații, birouri, personal, consumabile, deplasări) să fie reduse proporțional cu populația țării, urmând ca varianta finală a numărului de mandate să fie stabilită prin legea electorală, cu respectarea art. 62 alin. (3) din Constituție, care prevede că „numărul deputaților și al senatorilor se stabilește prin legea electorală, în raport cu populația țării”.</w:t>
      </w:r>
    </w:p>
    <w:p w:rsidR="00E47247" w:rsidRDefault="003F5351">
      <w:pPr>
        <w:pStyle w:val="Titlu2"/>
        <w:spacing w:before="360" w:after="200"/>
      </w:pPr>
      <w:r>
        <w:rPr>
          <w:b/>
          <w:bCs/>
          <w:sz w:val="24"/>
          <w:szCs w:val="24"/>
        </w:rPr>
        <w:t>1.6. Reforma administrativ-teritorială: comasarea județelor și debirocratizarea administrației locale</w:t>
      </w:r>
    </w:p>
    <w:p w:rsidR="00E47247" w:rsidRDefault="003F5351">
      <w:pPr>
        <w:spacing w:after="200" w:line="300" w:lineRule="auto"/>
        <w:jc w:val="both"/>
      </w:pPr>
      <w:r>
        <w:rPr>
          <w:sz w:val="24"/>
          <w:szCs w:val="24"/>
        </w:rPr>
        <w:t>Reforma fiscală și instituțională propusă la punctele 1.2–1.5 este completată de o reformă a structurii administrativ-teritoriale, menită să elimine duplicarea structurilor de conducere județene, fără a desființa nicio localitate și fără a reduce accesul cetățenilor la servicii publice.</w:t>
      </w:r>
    </w:p>
    <w:p w:rsidR="00E47247" w:rsidRDefault="003F5351">
      <w:pPr>
        <w:spacing w:after="200" w:line="300" w:lineRule="auto"/>
        <w:jc w:val="both"/>
      </w:pPr>
      <w:r>
        <w:rPr>
          <w:sz w:val="24"/>
          <w:szCs w:val="24"/>
        </w:rPr>
        <w:t xml:space="preserve">Se propune comasarea prin fuziune a 21 de perechi de județe, cu păstrarea tuturor instituțiilor deconcentrate necesare (poliție, jandarmerie, agricultură, mediu, sport, cultură) în ambele reședințe </w:t>
      </w:r>
      <w:r>
        <w:rPr>
          <w:sz w:val="24"/>
          <w:szCs w:val="24"/>
        </w:rPr>
        <w:lastRenderedPageBreak/>
        <w:t>istorice, dar sub o singură conducere administrativă și un singur consiliu județean, conform tabelului de mai jos: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0"/>
        <w:gridCol w:w="2500"/>
      </w:tblGrid>
      <w:tr w:rsidR="00E47247">
        <w:trPr>
          <w:tblHeader/>
        </w:trPr>
        <w:tc>
          <w:tcPr>
            <w:tcW w:w="7000" w:type="dxa"/>
            <w:shd w:val="clear" w:color="auto" w:fill="D9D9D9"/>
            <w:vAlign w:val="center"/>
          </w:tcPr>
          <w:p w:rsidR="00E47247" w:rsidRDefault="003F5351">
            <w:r>
              <w:rPr>
                <w:b/>
                <w:bCs/>
              </w:rPr>
              <w:t>Comasare propusă</w:t>
            </w:r>
          </w:p>
        </w:tc>
        <w:tc>
          <w:tcPr>
            <w:tcW w:w="2500" w:type="dxa"/>
            <w:shd w:val="clear" w:color="auto" w:fill="D9D9D9"/>
            <w:vAlign w:val="center"/>
          </w:tcPr>
          <w:p w:rsidR="00E47247" w:rsidRDefault="003F5351">
            <w:r>
              <w:rPr>
                <w:b/>
                <w:bCs/>
              </w:rPr>
              <w:t>Reședință</w:t>
            </w:r>
          </w:p>
        </w:tc>
      </w:tr>
      <w:tr w:rsidR="00E47247">
        <w:tc>
          <w:tcPr>
            <w:tcW w:w="7000" w:type="dxa"/>
            <w:vAlign w:val="center"/>
          </w:tcPr>
          <w:p w:rsidR="00E47247" w:rsidRDefault="003F5351">
            <w:r>
              <w:t>Alba + Sibiu</w:t>
            </w:r>
          </w:p>
        </w:tc>
        <w:tc>
          <w:tcPr>
            <w:tcW w:w="2500" w:type="dxa"/>
            <w:vAlign w:val="center"/>
          </w:tcPr>
          <w:p w:rsidR="00E47247" w:rsidRDefault="003F5351">
            <w:pPr>
              <w:jc w:val="center"/>
            </w:pPr>
            <w:r>
              <w:t>Sibiu</w:t>
            </w:r>
          </w:p>
        </w:tc>
      </w:tr>
      <w:tr w:rsidR="00E47247">
        <w:tc>
          <w:tcPr>
            <w:tcW w:w="7000" w:type="dxa"/>
            <w:vAlign w:val="center"/>
          </w:tcPr>
          <w:p w:rsidR="00E47247" w:rsidRDefault="003F5351">
            <w:r>
              <w:t>Arad + Timiș</w:t>
            </w:r>
          </w:p>
        </w:tc>
        <w:tc>
          <w:tcPr>
            <w:tcW w:w="2500" w:type="dxa"/>
            <w:vAlign w:val="center"/>
          </w:tcPr>
          <w:p w:rsidR="00E47247" w:rsidRDefault="003F5351">
            <w:pPr>
              <w:jc w:val="center"/>
            </w:pPr>
            <w:r>
              <w:t>Timișoara</w:t>
            </w:r>
          </w:p>
        </w:tc>
      </w:tr>
      <w:tr w:rsidR="00E47247">
        <w:tc>
          <w:tcPr>
            <w:tcW w:w="7000" w:type="dxa"/>
            <w:vAlign w:val="center"/>
          </w:tcPr>
          <w:p w:rsidR="00E47247" w:rsidRDefault="003F5351">
            <w:r>
              <w:t>Argeș + Vâlcea</w:t>
            </w:r>
          </w:p>
        </w:tc>
        <w:tc>
          <w:tcPr>
            <w:tcW w:w="2500" w:type="dxa"/>
            <w:vAlign w:val="center"/>
          </w:tcPr>
          <w:p w:rsidR="00E47247" w:rsidRDefault="003F5351">
            <w:pPr>
              <w:jc w:val="center"/>
            </w:pPr>
            <w:r>
              <w:t>Pitești</w:t>
            </w:r>
          </w:p>
        </w:tc>
      </w:tr>
      <w:tr w:rsidR="00E47247">
        <w:tc>
          <w:tcPr>
            <w:tcW w:w="7000" w:type="dxa"/>
            <w:vAlign w:val="center"/>
          </w:tcPr>
          <w:p w:rsidR="00E47247" w:rsidRDefault="003F5351">
            <w:r>
              <w:t>Bacău + Vaslui</w:t>
            </w:r>
          </w:p>
        </w:tc>
        <w:tc>
          <w:tcPr>
            <w:tcW w:w="2500" w:type="dxa"/>
            <w:vAlign w:val="center"/>
          </w:tcPr>
          <w:p w:rsidR="00E47247" w:rsidRDefault="003F5351">
            <w:pPr>
              <w:jc w:val="center"/>
            </w:pPr>
            <w:r>
              <w:t>Bacău</w:t>
            </w:r>
          </w:p>
        </w:tc>
      </w:tr>
      <w:tr w:rsidR="00E47247">
        <w:tc>
          <w:tcPr>
            <w:tcW w:w="7000" w:type="dxa"/>
            <w:vAlign w:val="center"/>
          </w:tcPr>
          <w:p w:rsidR="00E47247" w:rsidRDefault="003F5351">
            <w:r>
              <w:t>Bihor + Sălaj</w:t>
            </w:r>
          </w:p>
        </w:tc>
        <w:tc>
          <w:tcPr>
            <w:tcW w:w="2500" w:type="dxa"/>
            <w:vAlign w:val="center"/>
          </w:tcPr>
          <w:p w:rsidR="00E47247" w:rsidRDefault="003F5351">
            <w:pPr>
              <w:jc w:val="center"/>
            </w:pPr>
            <w:r>
              <w:t>Oradea</w:t>
            </w:r>
          </w:p>
        </w:tc>
      </w:tr>
      <w:tr w:rsidR="00E47247">
        <w:tc>
          <w:tcPr>
            <w:tcW w:w="7000" w:type="dxa"/>
            <w:vAlign w:val="center"/>
          </w:tcPr>
          <w:p w:rsidR="00E47247" w:rsidRDefault="003F5351">
            <w:r>
              <w:t>Bistrița-Năsăud + Cluj</w:t>
            </w:r>
          </w:p>
        </w:tc>
        <w:tc>
          <w:tcPr>
            <w:tcW w:w="2500" w:type="dxa"/>
            <w:vAlign w:val="center"/>
          </w:tcPr>
          <w:p w:rsidR="00E47247" w:rsidRDefault="003F5351">
            <w:pPr>
              <w:jc w:val="center"/>
            </w:pPr>
            <w:r>
              <w:t>Cluj-Napoca</w:t>
            </w:r>
          </w:p>
        </w:tc>
      </w:tr>
      <w:tr w:rsidR="00E47247">
        <w:tc>
          <w:tcPr>
            <w:tcW w:w="7000" w:type="dxa"/>
            <w:vAlign w:val="center"/>
          </w:tcPr>
          <w:p w:rsidR="00E47247" w:rsidRDefault="003F5351">
            <w:r>
              <w:t>Botoșani + Suceava</w:t>
            </w:r>
          </w:p>
        </w:tc>
        <w:tc>
          <w:tcPr>
            <w:tcW w:w="2500" w:type="dxa"/>
            <w:vAlign w:val="center"/>
          </w:tcPr>
          <w:p w:rsidR="00E47247" w:rsidRDefault="003F5351">
            <w:pPr>
              <w:jc w:val="center"/>
            </w:pPr>
            <w:r>
              <w:t>Suceava</w:t>
            </w:r>
          </w:p>
        </w:tc>
      </w:tr>
      <w:tr w:rsidR="00E47247">
        <w:tc>
          <w:tcPr>
            <w:tcW w:w="7000" w:type="dxa"/>
            <w:vAlign w:val="center"/>
          </w:tcPr>
          <w:p w:rsidR="00E47247" w:rsidRDefault="003F5351">
            <w:r>
              <w:t>Brașov + Covasna</w:t>
            </w:r>
          </w:p>
        </w:tc>
        <w:tc>
          <w:tcPr>
            <w:tcW w:w="2500" w:type="dxa"/>
            <w:vAlign w:val="center"/>
          </w:tcPr>
          <w:p w:rsidR="00E47247" w:rsidRDefault="003F5351">
            <w:pPr>
              <w:jc w:val="center"/>
            </w:pPr>
            <w:r>
              <w:t>Brașov</w:t>
            </w:r>
          </w:p>
        </w:tc>
      </w:tr>
      <w:tr w:rsidR="00E47247">
        <w:tc>
          <w:tcPr>
            <w:tcW w:w="7000" w:type="dxa"/>
            <w:vAlign w:val="center"/>
          </w:tcPr>
          <w:p w:rsidR="00E47247" w:rsidRDefault="003F5351">
            <w:r>
              <w:t>Brăila + Galați</w:t>
            </w:r>
          </w:p>
        </w:tc>
        <w:tc>
          <w:tcPr>
            <w:tcW w:w="2500" w:type="dxa"/>
            <w:vAlign w:val="center"/>
          </w:tcPr>
          <w:p w:rsidR="00E47247" w:rsidRDefault="003F5351">
            <w:pPr>
              <w:jc w:val="center"/>
            </w:pPr>
            <w:r>
              <w:t>Galați</w:t>
            </w:r>
          </w:p>
        </w:tc>
      </w:tr>
      <w:tr w:rsidR="00E47247">
        <w:tc>
          <w:tcPr>
            <w:tcW w:w="7000" w:type="dxa"/>
            <w:vAlign w:val="center"/>
          </w:tcPr>
          <w:p w:rsidR="00E47247" w:rsidRDefault="003F5351">
            <w:r>
              <w:t>Buzău + Vrancea</w:t>
            </w:r>
          </w:p>
        </w:tc>
        <w:tc>
          <w:tcPr>
            <w:tcW w:w="2500" w:type="dxa"/>
            <w:vAlign w:val="center"/>
          </w:tcPr>
          <w:p w:rsidR="00E47247" w:rsidRDefault="003F5351">
            <w:pPr>
              <w:jc w:val="center"/>
            </w:pPr>
            <w:r>
              <w:t>Buzău</w:t>
            </w:r>
          </w:p>
        </w:tc>
      </w:tr>
      <w:tr w:rsidR="00E47247">
        <w:tc>
          <w:tcPr>
            <w:tcW w:w="7000" w:type="dxa"/>
            <w:vAlign w:val="center"/>
          </w:tcPr>
          <w:p w:rsidR="00E47247" w:rsidRDefault="003F5351">
            <w:r>
              <w:t>Hunedoara + Caraș-Severin</w:t>
            </w:r>
          </w:p>
        </w:tc>
        <w:tc>
          <w:tcPr>
            <w:tcW w:w="2500" w:type="dxa"/>
            <w:vAlign w:val="center"/>
          </w:tcPr>
          <w:p w:rsidR="00E47247" w:rsidRDefault="003F5351">
            <w:pPr>
              <w:jc w:val="center"/>
            </w:pPr>
            <w:r>
              <w:t>Deva</w:t>
            </w:r>
          </w:p>
        </w:tc>
      </w:tr>
      <w:tr w:rsidR="00E47247">
        <w:tc>
          <w:tcPr>
            <w:tcW w:w="7000" w:type="dxa"/>
            <w:vAlign w:val="center"/>
          </w:tcPr>
          <w:p w:rsidR="00E47247" w:rsidRDefault="003F5351">
            <w:r>
              <w:t>Constanța + Tulcea</w:t>
            </w:r>
          </w:p>
        </w:tc>
        <w:tc>
          <w:tcPr>
            <w:tcW w:w="2500" w:type="dxa"/>
            <w:vAlign w:val="center"/>
          </w:tcPr>
          <w:p w:rsidR="00E47247" w:rsidRDefault="003F5351">
            <w:pPr>
              <w:jc w:val="center"/>
            </w:pPr>
            <w:r>
              <w:t>Constanța</w:t>
            </w:r>
          </w:p>
        </w:tc>
      </w:tr>
      <w:tr w:rsidR="00E47247">
        <w:tc>
          <w:tcPr>
            <w:tcW w:w="7000" w:type="dxa"/>
            <w:vAlign w:val="center"/>
          </w:tcPr>
          <w:p w:rsidR="00E47247" w:rsidRDefault="003F5351">
            <w:r>
              <w:t>Dolj + Olt</w:t>
            </w:r>
          </w:p>
        </w:tc>
        <w:tc>
          <w:tcPr>
            <w:tcW w:w="2500" w:type="dxa"/>
            <w:vAlign w:val="center"/>
          </w:tcPr>
          <w:p w:rsidR="00E47247" w:rsidRDefault="003F5351">
            <w:pPr>
              <w:jc w:val="center"/>
            </w:pPr>
            <w:r>
              <w:t>Craiova</w:t>
            </w:r>
          </w:p>
        </w:tc>
      </w:tr>
      <w:tr w:rsidR="00E47247">
        <w:tc>
          <w:tcPr>
            <w:tcW w:w="7000" w:type="dxa"/>
            <w:vAlign w:val="center"/>
          </w:tcPr>
          <w:p w:rsidR="00E47247" w:rsidRDefault="003F5351">
            <w:r>
              <w:t>Mehedinți + Gorj</w:t>
            </w:r>
          </w:p>
        </w:tc>
        <w:tc>
          <w:tcPr>
            <w:tcW w:w="2500" w:type="dxa"/>
            <w:vAlign w:val="center"/>
          </w:tcPr>
          <w:p w:rsidR="00E47247" w:rsidRDefault="003F5351">
            <w:pPr>
              <w:jc w:val="center"/>
            </w:pPr>
            <w:r>
              <w:t>Turnu Severin</w:t>
            </w:r>
          </w:p>
        </w:tc>
      </w:tr>
      <w:tr w:rsidR="00E47247">
        <w:tc>
          <w:tcPr>
            <w:tcW w:w="7000" w:type="dxa"/>
            <w:vAlign w:val="center"/>
          </w:tcPr>
          <w:p w:rsidR="00E47247" w:rsidRDefault="003F5351">
            <w:r>
              <w:t>Mureș + Harghita</w:t>
            </w:r>
          </w:p>
        </w:tc>
        <w:tc>
          <w:tcPr>
            <w:tcW w:w="2500" w:type="dxa"/>
            <w:vAlign w:val="center"/>
          </w:tcPr>
          <w:p w:rsidR="00E47247" w:rsidRDefault="003F5351">
            <w:pPr>
              <w:jc w:val="center"/>
            </w:pPr>
            <w:r>
              <w:t>Târgu Mureș</w:t>
            </w:r>
          </w:p>
        </w:tc>
      </w:tr>
      <w:tr w:rsidR="00E47247">
        <w:tc>
          <w:tcPr>
            <w:tcW w:w="7000" w:type="dxa"/>
            <w:vAlign w:val="center"/>
          </w:tcPr>
          <w:p w:rsidR="00E47247" w:rsidRDefault="003F5351">
            <w:r>
              <w:t>Ialomița + Călărași</w:t>
            </w:r>
          </w:p>
        </w:tc>
        <w:tc>
          <w:tcPr>
            <w:tcW w:w="2500" w:type="dxa"/>
            <w:vAlign w:val="center"/>
          </w:tcPr>
          <w:p w:rsidR="00E47247" w:rsidRDefault="003F5351">
            <w:pPr>
              <w:jc w:val="center"/>
            </w:pPr>
            <w:r>
              <w:t>Slobozia/Călărași</w:t>
            </w:r>
          </w:p>
        </w:tc>
      </w:tr>
      <w:tr w:rsidR="00E47247">
        <w:tc>
          <w:tcPr>
            <w:tcW w:w="7000" w:type="dxa"/>
            <w:vAlign w:val="center"/>
          </w:tcPr>
          <w:p w:rsidR="00E47247" w:rsidRDefault="003F5351">
            <w:r>
              <w:t>Iași + Neamț</w:t>
            </w:r>
          </w:p>
        </w:tc>
        <w:tc>
          <w:tcPr>
            <w:tcW w:w="2500" w:type="dxa"/>
            <w:vAlign w:val="center"/>
          </w:tcPr>
          <w:p w:rsidR="00E47247" w:rsidRDefault="003F5351">
            <w:pPr>
              <w:jc w:val="center"/>
            </w:pPr>
            <w:r>
              <w:t>Iași</w:t>
            </w:r>
          </w:p>
        </w:tc>
      </w:tr>
      <w:tr w:rsidR="00E47247">
        <w:tc>
          <w:tcPr>
            <w:tcW w:w="7000" w:type="dxa"/>
            <w:vAlign w:val="center"/>
          </w:tcPr>
          <w:p w:rsidR="00E47247" w:rsidRDefault="003F5351">
            <w:r>
              <w:t>Ilfov + Municipiul București</w:t>
            </w:r>
          </w:p>
        </w:tc>
        <w:tc>
          <w:tcPr>
            <w:tcW w:w="2500" w:type="dxa"/>
            <w:vAlign w:val="center"/>
          </w:tcPr>
          <w:p w:rsidR="00E47247" w:rsidRDefault="003F5351">
            <w:pPr>
              <w:jc w:val="center"/>
            </w:pPr>
            <w:r>
              <w:t>București</w:t>
            </w:r>
          </w:p>
        </w:tc>
      </w:tr>
      <w:tr w:rsidR="00E47247">
        <w:tc>
          <w:tcPr>
            <w:tcW w:w="7000" w:type="dxa"/>
            <w:vAlign w:val="center"/>
          </w:tcPr>
          <w:p w:rsidR="00E47247" w:rsidRDefault="003F5351">
            <w:r>
              <w:t>Maramureș + Satu Mare</w:t>
            </w:r>
          </w:p>
        </w:tc>
        <w:tc>
          <w:tcPr>
            <w:tcW w:w="2500" w:type="dxa"/>
            <w:vAlign w:val="center"/>
          </w:tcPr>
          <w:p w:rsidR="00E47247" w:rsidRDefault="003F5351">
            <w:pPr>
              <w:jc w:val="center"/>
            </w:pPr>
            <w:r>
              <w:t>Baia Mare</w:t>
            </w:r>
          </w:p>
        </w:tc>
      </w:tr>
      <w:tr w:rsidR="00E47247">
        <w:tc>
          <w:tcPr>
            <w:tcW w:w="7000" w:type="dxa"/>
            <w:vAlign w:val="center"/>
          </w:tcPr>
          <w:p w:rsidR="00E47247" w:rsidRDefault="003F5351">
            <w:r>
              <w:t>Prahova + Dâmbovița</w:t>
            </w:r>
          </w:p>
        </w:tc>
        <w:tc>
          <w:tcPr>
            <w:tcW w:w="2500" w:type="dxa"/>
            <w:vAlign w:val="center"/>
          </w:tcPr>
          <w:p w:rsidR="00E47247" w:rsidRDefault="003F5351">
            <w:pPr>
              <w:jc w:val="center"/>
            </w:pPr>
            <w:r>
              <w:t>Ploiești</w:t>
            </w:r>
          </w:p>
        </w:tc>
      </w:tr>
      <w:tr w:rsidR="00E47247">
        <w:tc>
          <w:tcPr>
            <w:tcW w:w="7000" w:type="dxa"/>
            <w:vAlign w:val="center"/>
          </w:tcPr>
          <w:p w:rsidR="00E47247" w:rsidRDefault="003F5351">
            <w:r>
              <w:t>Giurgiu + Teleorman</w:t>
            </w:r>
          </w:p>
        </w:tc>
        <w:tc>
          <w:tcPr>
            <w:tcW w:w="2500" w:type="dxa"/>
            <w:vAlign w:val="center"/>
          </w:tcPr>
          <w:p w:rsidR="00E47247" w:rsidRDefault="003F5351">
            <w:pPr>
              <w:jc w:val="center"/>
            </w:pPr>
            <w:r>
              <w:t>Giurgiu</w:t>
            </w:r>
          </w:p>
        </w:tc>
      </w:tr>
    </w:tbl>
    <w:p w:rsidR="00E47247" w:rsidRDefault="00E47247">
      <w:pPr>
        <w:spacing w:after="200" w:line="300" w:lineRule="auto"/>
        <w:jc w:val="both"/>
      </w:pPr>
    </w:p>
    <w:p w:rsidR="00E47247" w:rsidRDefault="003F5351">
      <w:pPr>
        <w:spacing w:after="200" w:line="300" w:lineRule="auto"/>
        <w:jc w:val="both"/>
      </w:pPr>
      <w:r>
        <w:rPr>
          <w:sz w:val="24"/>
          <w:szCs w:val="24"/>
        </w:rPr>
        <w:t>Efecte administrative directe: desființarea a 21 de posturi de prefect și a aproximativ 42 de posturi de subprefect, cu cabinetele aferente; desființarea a 21 de structuri paralele de conducere pentru direcțiile de cultură, agricultură, sport și mediu, care se comasează la nivelul noului județ, fără desființarea posturilor de execuție din teritoriu.</w:t>
      </w:r>
    </w:p>
    <w:p w:rsidR="00E47247" w:rsidRDefault="003F5351">
      <w:pPr>
        <w:spacing w:after="200" w:line="300" w:lineRule="auto"/>
        <w:jc w:val="both"/>
      </w:pPr>
      <w:r w:rsidRPr="00C85FA2">
        <w:rPr>
          <w:b/>
          <w:sz w:val="24"/>
          <w:szCs w:val="24"/>
          <w:u w:val="single"/>
        </w:rPr>
        <w:t>Se propune totodată reanalizarea rolului instituției prefectului și al subprefectului</w:t>
      </w:r>
      <w:r>
        <w:rPr>
          <w:sz w:val="24"/>
          <w:szCs w:val="24"/>
        </w:rPr>
        <w:t>, ale căror atribuții efective s-au restrâns în timp și nu mai justifică, în raport cu costurile de funcționare aferente, menținerea unei structuri de conducere proprii paralele cu cea a consiliului județean, prin transferul deciziei administrative curente către președintele consiliului județean (ales de comunitate și răspunzător față de aceasta), iar Guvernul să păstreze, printr-un Reprezentant Special teritorial subordonat Ministerului Afacerilor Interne, doar atribuțiile de ordine publică, situații de urgență și control de legalitate a actelor administrative locale.</w:t>
      </w:r>
    </w:p>
    <w:p w:rsidR="00E47247" w:rsidRDefault="003F5351">
      <w:pPr>
        <w:spacing w:after="200" w:line="300" w:lineRule="auto"/>
        <w:jc w:val="both"/>
      </w:pPr>
      <w:r>
        <w:rPr>
          <w:sz w:val="24"/>
          <w:szCs w:val="24"/>
        </w:rPr>
        <w:t>Comunele cu o populație sub 5.000 de locuitori și orașele cu o populație sub 10.000 de locuitori, care nu se comasează cu o localitate învecinată, nu mai beneficiază de finanțare de la bugetul de stat pentru cheltuieli administrative proprii, cu excepția finanțării obligatorii pentru școli, unități sanitare și poliție; localitățile periurbane pot deveni, prin hotărâre a consiliului local și consultare cetățenească, cartiere ale orașelor de care sunt direct lipite, cu economii de scară la administrație, utilități și investiții.</w:t>
      </w:r>
    </w:p>
    <w:p w:rsidR="00E47247" w:rsidRDefault="003F5351">
      <w:pPr>
        <w:spacing w:after="200" w:line="300" w:lineRule="auto"/>
        <w:jc w:val="both"/>
      </w:pPr>
      <w:r>
        <w:rPr>
          <w:i/>
          <w:iCs/>
        </w:rPr>
        <w:t>Notă: propunerea privind mutarea Capitalei administrative a României într-un oraș din centrul țării (de exemplu Alba Iulia), cu păstrarea Bucureștiului ca reședință economică, rămâne un obiectiv de țară pe termen mediu-lung, distinct de măsurile de debirocratizare imediată de mai sus, întrucât presupune investiții majore și o dezbatere publică separată; nu face parte din textul normativ propus la Capitolul II al prezentei inițiative.</w:t>
      </w:r>
    </w:p>
    <w:p w:rsidR="00E47247" w:rsidRDefault="003F5351">
      <w:pPr>
        <w:pStyle w:val="Titlu3"/>
        <w:spacing w:before="360" w:after="200"/>
      </w:pPr>
      <w:r>
        <w:rPr>
          <w:b/>
          <w:bCs/>
        </w:rPr>
        <w:lastRenderedPageBreak/>
        <w:t>1.6.1. Estimarea economiilor din reforma administrativ-teritorială</w:t>
      </w:r>
    </w:p>
    <w:p w:rsidR="00E47247" w:rsidRDefault="003F5351">
      <w:pPr>
        <w:spacing w:after="200" w:line="300" w:lineRule="auto"/>
        <w:jc w:val="both"/>
      </w:pPr>
      <w:r>
        <w:rPr>
          <w:sz w:val="24"/>
          <w:szCs w:val="24"/>
        </w:rPr>
        <w:t>Bugetul anual al unei instituții a prefectului de dimensiune medie este de ordinul a 9 milioane lei (exemplu verificat: Instituția Prefectului – Județul Mureș, buget de 9,192 milioane lei în 2021, aproape integral cheltuieli de personal și funcționare curentă). Pornind de la acest reper și presupunând că, prin comasare, se elimină exclusiv paliera de conducere și administrativ-suport dublă (estimată la 30–40% din bugetul unei instituții a prefectului, restul reprezentând activitate de teren care se menține în ambele reședințe), rezultă o economie estimată de ordinul a 60–100 mil</w:t>
      </w:r>
      <w:r w:rsidR="00C85FA2">
        <w:rPr>
          <w:sz w:val="24"/>
          <w:szCs w:val="24"/>
        </w:rPr>
        <w:t>ioane de</w:t>
      </w:r>
      <w:r>
        <w:rPr>
          <w:sz w:val="24"/>
          <w:szCs w:val="24"/>
        </w:rPr>
        <w:t xml:space="preserve"> lei anual la nivel național, numai din comasarea celor 21 de instituții ale prefectului, fără a lua în calcul economiile similare de la nivelul direcțiilor județene de cultură, agricultură, sport și mediu</w:t>
      </w:r>
      <w:r w:rsidR="00C85FA2">
        <w:rPr>
          <w:sz w:val="24"/>
          <w:szCs w:val="24"/>
        </w:rPr>
        <w:t>, etc</w:t>
      </w:r>
      <w:r>
        <w:rPr>
          <w:sz w:val="24"/>
          <w:szCs w:val="24"/>
        </w:rPr>
        <w:t>.</w:t>
      </w:r>
    </w:p>
    <w:p w:rsidR="00E47247" w:rsidRDefault="003F5351">
      <w:pPr>
        <w:spacing w:after="200" w:line="300" w:lineRule="auto"/>
        <w:jc w:val="both"/>
      </w:pPr>
      <w:r>
        <w:rPr>
          <w:sz w:val="24"/>
          <w:szCs w:val="24"/>
        </w:rPr>
        <w:t xml:space="preserve">La aceasta se adaugă economii greu de cuantificat fără date execuționale exacte, dar reale ca principiu, provenite din reducerea numărului de sedii administrative întreținute în paralel (utilități — apă, energie electrică, încălzire —, carburant pentru parcul auto instituțional, consumabile de birou, contracte de mentenanță și pază), proporțional cu numărul de structuri comasate, care pot fi chiar și de </w:t>
      </w:r>
      <w:r>
        <w:rPr>
          <w:b/>
          <w:sz w:val="24"/>
          <w:szCs w:val="24"/>
          <w:u w:val="single"/>
        </w:rPr>
        <w:t>10 MILIARDE de euro anual, adică aproape tot serviciul de plată al dobânzilor pentru datoria externă a României</w:t>
      </w:r>
      <w:r>
        <w:rPr>
          <w:sz w:val="24"/>
          <w:szCs w:val="24"/>
        </w:rPr>
        <w:t>.</w:t>
      </w:r>
    </w:p>
    <w:p w:rsidR="00E47247" w:rsidRDefault="003F5351">
      <w:pPr>
        <w:spacing w:after="200" w:line="300" w:lineRule="auto"/>
        <w:jc w:val="both"/>
      </w:pPr>
      <w:r>
        <w:rPr>
          <w:sz w:val="24"/>
          <w:szCs w:val="24"/>
        </w:rPr>
        <w:t>Comasarea comunelor sub 5.000 de locuitori și a orașelor sub 10.000 de locuitori (estimate, potrivit informațiilor disponibile la inițiator, la circa 1.000 de unități administrativ-teritoriale la nivel național, cifră ce trebuie confirmată pe baza datelor de populație ale Institutului Național de Statistică) generează, prin același mecanism, economii la nivelul cheltuielilor administrative proprii (primar, viceprimar, secretariat, contabilitate, sediu, utilități, carburant auto) ale unităților care se comasează, cu păstrarea integrală a finanțării pentru școli, unități sanitare și poliție.</w:t>
      </w:r>
    </w:p>
    <w:p w:rsidR="00E47247" w:rsidRDefault="003F5351">
      <w:pPr>
        <w:spacing w:after="200" w:line="300" w:lineRule="auto"/>
        <w:jc w:val="both"/>
      </w:pPr>
      <w:r>
        <w:rPr>
          <w:sz w:val="24"/>
          <w:szCs w:val="24"/>
        </w:rPr>
        <w:t>O componentă separată, dar direct conectată la reforma administrativ-teritorială, este eliminarea cheltuielilor cu chiriile plătite de instituțiile publice pentru sedii aflate în proprietate privată. Fostul ministru al Finanțelor și al Investițiilor și Proiectelor Europene, Adrian Câciu, a declarat public, în ianuarie 2025, că statul român plătește anual peste 100 de milioane de euro chirii pentru sediile ministerelor, agențiilor și altor instituții publice, de la clinici medicale la sedii de agenții și sucursale, dând ca exemplu chiria de 200.000 euro/lună (2,4 milioane euro/an) plătită pentru sediul fostului Minister al Investițiilor și Proiectelor Europene. Relocarea instituțiilor care plătesc în prezent chirii în imobilele eliberate prin comasarea celor 21 de instituții ale prefectului și a direcțiilor județene comasate, acolo unde este posibil din punct de vedere logistic, ar putea reduce semnificativ, în timp, această factură anuală de peste 100 milioane euro, fără a fi necesară nicio investiție inițială majoră, ci doar o inventariere administrativă (art. 13¹).</w:t>
      </w:r>
    </w:p>
    <w:p w:rsidR="00E47247" w:rsidRDefault="003F5351">
      <w:pPr>
        <w:spacing w:after="200" w:line="300" w:lineRule="auto"/>
        <w:jc w:val="both"/>
      </w:pPr>
      <w:r>
        <w:rPr>
          <w:i/>
          <w:iCs/>
        </w:rPr>
        <w:t>Toate cifrele din această secțiune au caracter estimativ și orientativ, întemeiate pe un singur exemplu verificat (Instituția Prefectului – Județul Mureș) extrapolat la nivel național și pe declarații publice ale unui fost ministru al Finanțelor; ele nu înlocuiesc o analiză bugetară exhaustivă, instituție cu instituție și unitate administrativ-teritorială cu unitate administrativ-teritorială, pe care Guvernul ar trebui să o realizeze înainte de adoptarea legii.</w:t>
      </w:r>
    </w:p>
    <w:p w:rsidR="00E47247" w:rsidRDefault="003F5351">
      <w:r>
        <w:br w:type="page"/>
      </w:r>
    </w:p>
    <w:p w:rsidR="00E47247" w:rsidRPr="009530EB" w:rsidRDefault="003F5351">
      <w:pPr>
        <w:pStyle w:val="Titlu1"/>
        <w:spacing w:before="360" w:after="200"/>
        <w:rPr>
          <w:color w:val="FF0000"/>
        </w:rPr>
      </w:pPr>
      <w:r w:rsidRPr="009530EB">
        <w:rPr>
          <w:b/>
          <w:bCs/>
          <w:color w:val="FF0000"/>
          <w:sz w:val="28"/>
          <w:szCs w:val="28"/>
        </w:rPr>
        <w:lastRenderedPageBreak/>
        <w:t>CAPITOLUL II. TEXT PROPUS AL INIȚIATIVEI</w:t>
      </w:r>
    </w:p>
    <w:p w:rsidR="00E47247" w:rsidRDefault="003F5351">
      <w:pPr>
        <w:spacing w:after="200" w:line="300" w:lineRule="auto"/>
        <w:jc w:val="both"/>
      </w:pPr>
      <w:r>
        <w:rPr>
          <w:sz w:val="24"/>
          <w:szCs w:val="24"/>
        </w:rPr>
        <w:t>Art. 1. – Se instituie o cotă unică de taxă pe valoarea adăugată de 15%, aplicabilă tuturor categoriilor de bunuri și servicii, prin modificarea corespunzătoare a Legii nr. 227/2015 privind Codul fiscal.</w:t>
      </w:r>
    </w:p>
    <w:p w:rsidR="00E47247" w:rsidRDefault="003F5351">
      <w:pPr>
        <w:spacing w:after="200" w:line="300" w:lineRule="auto"/>
        <w:jc w:val="both"/>
      </w:pPr>
      <w:r>
        <w:rPr>
          <w:sz w:val="24"/>
          <w:szCs w:val="24"/>
        </w:rPr>
        <w:t>Art. 2. – Se instituie un impozit unic de 10% pe orice categorie de venit/profit al persoanelor fizice și juridice, prin modificarea corespunzătoare a titlurilor referitoare la impozitul pe venit și impozitul pe profit din Legea nr. 227/2015 privind Codul fiscal.</w:t>
      </w:r>
    </w:p>
    <w:p w:rsidR="00E47247" w:rsidRDefault="003F5351">
      <w:pPr>
        <w:spacing w:after="200" w:line="300" w:lineRule="auto"/>
        <w:jc w:val="both"/>
      </w:pPr>
      <w:r>
        <w:rPr>
          <w:sz w:val="24"/>
          <w:szCs w:val="24"/>
        </w:rPr>
        <w:t>Art. 3. – Se abrogă actele normative de înființare a Academiei Oamenilor de Știință din România, a Institutului de Studii Avansate pentru Cultura și Civilizația Levantului și a Institutului Revoluției Române din Decembrie 1989, urmând ca patrimoniul, arhiva și, după caz, personalul de cercetare cu activitate demonstrabilă să fie preluate de Academia Română.</w:t>
      </w:r>
    </w:p>
    <w:p w:rsidR="00E47247" w:rsidRDefault="003F5351">
      <w:pPr>
        <w:spacing w:after="200" w:line="300" w:lineRule="auto"/>
        <w:jc w:val="both"/>
      </w:pPr>
      <w:r>
        <w:rPr>
          <w:sz w:val="24"/>
          <w:szCs w:val="24"/>
        </w:rPr>
        <w:t>Art. 4. – Institutul Român pentru Drepturile Omului se desființează, iar atribuțiile de monitorizare a respectării drepturilor omului se preiau de instituția Avocatul Poporului.</w:t>
      </w:r>
    </w:p>
    <w:p w:rsidR="00E47247" w:rsidRDefault="003F5351">
      <w:pPr>
        <w:spacing w:after="200" w:line="300" w:lineRule="auto"/>
        <w:jc w:val="both"/>
      </w:pPr>
      <w:r>
        <w:rPr>
          <w:sz w:val="24"/>
          <w:szCs w:val="24"/>
        </w:rPr>
        <w:t>Art. 5. – Guvernul va accelera și va da termen ferm de finalizare, prin hotărâre de Guvern, procesului de reorganizare a institutelor și centrelor de cercetare din subordinea Academiei Române, aprobat de Adunarea Generală a acesteia.</w:t>
      </w:r>
    </w:p>
    <w:p w:rsidR="00E47247" w:rsidRDefault="003F5351">
      <w:pPr>
        <w:spacing w:after="200" w:line="300" w:lineRule="auto"/>
        <w:jc w:val="both"/>
      </w:pPr>
      <w:r>
        <w:rPr>
          <w:sz w:val="24"/>
          <w:szCs w:val="24"/>
        </w:rPr>
        <w:t>Art. 6. – Prin derogare de la regimul general de organizare, funcțiile administrative de suport (financiar-contabil, resurse umane, achiziții publice) ale instituțiilor publice de cercetare istorică și memorialistică, inclusiv Institutul Național pentru Studierea Holocaustului din România „Elie Wiesel”, Institutul Național pentru Studiul Totalitarismului și Institutul de Investigare a Crimelor Comunismului și Memoria Exilului Românesc, se comasează într-o structură administrativă comună, cu păstrarea integrală a autonomiei științifice, a bugetelor de proiecte și a atribuțiilor de cercetare ale fiecărei instituții.</w:t>
      </w:r>
    </w:p>
    <w:p w:rsidR="00E47247" w:rsidRDefault="003F5351">
      <w:pPr>
        <w:spacing w:after="200" w:line="300" w:lineRule="auto"/>
        <w:jc w:val="both"/>
      </w:pPr>
      <w:r>
        <w:rPr>
          <w:sz w:val="24"/>
          <w:szCs w:val="24"/>
        </w:rPr>
        <w:t>Art. 7. – Legea electorală se modifică pentru a grupa cele aproximativ 17 organizații ale cetățenilor aparținând minorităților naționale, îndreptățite la câte un loc de deputat potrivit art. 62 alin. (2) din Constituție, în 3 tranșe de rotație, de 6, 6 și, respectiv, 5 organizații, care exercită consecutiv, în perioade egale de aproximativ 16 luni, mandatul de deputat, cu drepturi și obligații depline pe durata exercitării efective.</w:t>
      </w:r>
    </w:p>
    <w:p w:rsidR="00E47247" w:rsidRDefault="003F5351">
      <w:pPr>
        <w:spacing w:after="200" w:line="300" w:lineRule="auto"/>
        <w:jc w:val="both"/>
      </w:pPr>
      <w:r>
        <w:rPr>
          <w:sz w:val="24"/>
          <w:szCs w:val="24"/>
        </w:rPr>
        <w:t>Art. 8. – Numărul total de deputați și senatori se recalculează prin legea electorală, în raport cu populația țării, potrivit art. 62 alin. (3) din Constituție, în sensul reducerii costurilor totale de funcționare a Parlamentului.</w:t>
      </w:r>
    </w:p>
    <w:p w:rsidR="00E47247" w:rsidRDefault="003F5351">
      <w:pPr>
        <w:spacing w:after="200" w:line="300" w:lineRule="auto"/>
        <w:jc w:val="both"/>
      </w:pPr>
      <w:r>
        <w:rPr>
          <w:sz w:val="24"/>
          <w:szCs w:val="24"/>
        </w:rPr>
        <w:t>Art. 9. – Se aprobă comasarea prin fuziune a județelor potrivit tabelului din Capitolul I punctul 1.6, cu păstrarea instituțiilor deconcentrate necesare în ambele reședințe istorice și cu funcționare sub o singură conducere administrativă și un singur consiliu județean; se desființează posturile de prefect și subprefect corespunzătoare județelor comasate, cu redistribuirea atribuțiilor conform art. 10.</w:t>
      </w:r>
    </w:p>
    <w:p w:rsidR="00E47247" w:rsidRDefault="003F5351">
      <w:pPr>
        <w:spacing w:after="200" w:line="300" w:lineRule="auto"/>
        <w:jc w:val="both"/>
      </w:pPr>
      <w:r>
        <w:rPr>
          <w:sz w:val="24"/>
          <w:szCs w:val="24"/>
        </w:rPr>
        <w:lastRenderedPageBreak/>
        <w:t>Art. 10. – Atribuțiile curente de decizie administrativă se transferă către președintele consiliului județean; Guvernul păstrează, prin Reprezentantul Special teritorial din subordinea Ministerului Afacerilor Interne, competențele privind ordinea publică, situațiile de urgență și controlul de legalitate a actelor administrației publice locale.</w:t>
      </w:r>
    </w:p>
    <w:p w:rsidR="00E47247" w:rsidRDefault="003F5351">
      <w:pPr>
        <w:spacing w:after="200" w:line="300" w:lineRule="auto"/>
        <w:jc w:val="both"/>
      </w:pPr>
      <w:r>
        <w:rPr>
          <w:sz w:val="24"/>
          <w:szCs w:val="24"/>
        </w:rPr>
        <w:t>Art. 11. – Comunele sub 5.000 de locuitori și orașele sub 10.000 de locuitori care nu se comasează cu o localitate învecinată nu mai primesc finanțare de la bugetul de stat pentru cheltuieli administrative proprii, cu excepția finanțării obligatorii pentru școli, unități sanitare și poliție.</w:t>
      </w:r>
    </w:p>
    <w:p w:rsidR="00E47247" w:rsidRDefault="003F5351">
      <w:pPr>
        <w:spacing w:after="200" w:line="300" w:lineRule="auto"/>
        <w:jc w:val="both"/>
      </w:pPr>
      <w:r>
        <w:rPr>
          <w:sz w:val="24"/>
          <w:szCs w:val="24"/>
        </w:rPr>
        <w:t>Art. 12. – Guvernul are obligația de a inventaria, în termen de 60 de zile de la adoptare, toate companiile aflate în subordinea, coordonarea sau sub autoritatea statului ori a unităților administrativ-teritoriale, cu precizarea activității economice reale, a numărului de angajați și a sediului efectiv; companiile fără activitate economică demonstrabilă se lichidează în termen de 180 de zile de la finalizarea inventarierii.</w:t>
      </w:r>
    </w:p>
    <w:p w:rsidR="00E47247" w:rsidRDefault="003F5351">
      <w:pPr>
        <w:spacing w:after="200" w:line="300" w:lineRule="auto"/>
        <w:jc w:val="both"/>
      </w:pPr>
      <w:r>
        <w:rPr>
          <w:sz w:val="24"/>
          <w:szCs w:val="24"/>
        </w:rPr>
        <w:t>Art. 13. – Se desființează Autoritatea Teritorială de Ordine Publică, cu preluarea atribuțiilor reziduale de către consiliul județean și de către Reprezentantul Special teritorial menționat la art. 10. Se desființează Autoritatea pentru Reformă Feroviară, cu preluarea, ca succesor universal de drept, de către Ministerul Transporturilor și Infrastructurii, a tuturor drepturilor și obligațiilor rezultate din contractele de servicii publice în derulare, din acordurile de finanțare europeană în curs de implementare și din orice alt raport juridic aflat în curs la data desființării, fără întrerupere de continuitate juridică.</w:t>
      </w:r>
    </w:p>
    <w:p w:rsidR="00E47247" w:rsidRDefault="003F5351">
      <w:pPr>
        <w:spacing w:after="200" w:line="300" w:lineRule="auto"/>
        <w:jc w:val="both"/>
      </w:pPr>
      <w:r>
        <w:rPr>
          <w:sz w:val="24"/>
          <w:szCs w:val="24"/>
        </w:rPr>
        <w:t>Art. 13¹. – Guvernul, prin Secretariatul General al Guvernului și ministerele de resort, va identifica, în termen de 180 de zile de la adoptare, imobilele proprietate publică disponibile, inclusiv cele eliberate prin comasarea instituției prefectului potrivit art. 9, în care pot fi relocate ministerele, agențiile și instituțiile publice care funcționează în prezent în spații închiriate, în vederea eliminării treptate a cheltuielilor de chirie suportate de la bugetul de stat.</w:t>
      </w:r>
    </w:p>
    <w:p w:rsidR="00E47247" w:rsidRDefault="003F5351">
      <w:pPr>
        <w:spacing w:after="200" w:line="300" w:lineRule="auto"/>
        <w:jc w:val="both"/>
      </w:pPr>
      <w:r>
        <w:rPr>
          <w:sz w:val="24"/>
          <w:szCs w:val="24"/>
        </w:rPr>
        <w:t>Art. 14. – Companiile municipale ale unităților administrativ-teritoriale care dublează activitatea unor direcții sau administrații deja existente se comasează cu structura de origine, în termen de 180 de zile de la adoptarea prezentei legi.</w:t>
      </w:r>
    </w:p>
    <w:p w:rsidR="00E47247" w:rsidRDefault="003F5351">
      <w:pPr>
        <w:spacing w:after="200" w:line="300" w:lineRule="auto"/>
        <w:jc w:val="both"/>
      </w:pPr>
      <w:r>
        <w:rPr>
          <w:sz w:val="24"/>
          <w:szCs w:val="24"/>
        </w:rPr>
        <w:t>Art. 14¹. – Institutul „Eudoxiu Hurmuzachi” pentru Românii de Pretutindeni se comasează cu Departamentul/Ministerul pentru Românii de Pretutindeni într-o singură structură cu personalitate juridică; Centrul Național de Cultură al Romilor „Romano-Kher” se comasează, fără personalitate juridică proprie, în cadrul Agenției Naționale pentru Romi.</w:t>
      </w:r>
    </w:p>
    <w:p w:rsidR="00E47247" w:rsidRDefault="003F5351">
      <w:pPr>
        <w:spacing w:after="200" w:line="300" w:lineRule="auto"/>
        <w:jc w:val="both"/>
      </w:pPr>
      <w:r>
        <w:rPr>
          <w:sz w:val="24"/>
          <w:szCs w:val="24"/>
        </w:rPr>
        <w:t>Art. 15. – Guvernul va prezenta Parlamentului, în termen de 90 de zile de la adoptare, un raport privind economiile bugetare rezultate din aplicarea prezentei legi, defalcat pe fiecare instituție, companie și unitate administrativ-teritorială vizată.</w:t>
      </w:r>
    </w:p>
    <w:p w:rsidR="00E47247" w:rsidRDefault="003F5351">
      <w:r>
        <w:br w:type="page"/>
      </w:r>
    </w:p>
    <w:p w:rsidR="00E47247" w:rsidRDefault="003F5351">
      <w:pPr>
        <w:pStyle w:val="Titlu1"/>
        <w:spacing w:before="360" w:after="200"/>
      </w:pPr>
      <w:r>
        <w:rPr>
          <w:b/>
          <w:bCs/>
          <w:sz w:val="28"/>
          <w:szCs w:val="28"/>
        </w:rPr>
        <w:lastRenderedPageBreak/>
        <w:t>CAPITOLUL III. ANEXA ECONOMICĂ</w:t>
      </w:r>
    </w:p>
    <w:p w:rsidR="00E47247" w:rsidRDefault="003F5351">
      <w:pPr>
        <w:spacing w:after="200" w:line="300" w:lineRule="auto"/>
        <w:jc w:val="both"/>
      </w:pPr>
      <w:r>
        <w:rPr>
          <w:sz w:val="24"/>
          <w:szCs w:val="24"/>
        </w:rPr>
        <w:t>Sinteza economiilor bugetare estimate, pe baza datelor publice disponibile la data redactării prezentei inițiative:</w:t>
      </w:r>
    </w:p>
    <w:p w:rsidR="00E47247" w:rsidRDefault="003F5351">
      <w:pPr>
        <w:spacing w:after="200" w:line="300" w:lineRule="auto"/>
        <w:jc w:val="both"/>
      </w:pPr>
      <w:r>
        <w:rPr>
          <w:sz w:val="24"/>
          <w:szCs w:val="24"/>
        </w:rPr>
        <w:t>• Desființarea AOSR, ISACCL și IRRD: cca 17–18 milioane lei/an.</w:t>
      </w:r>
    </w:p>
    <w:p w:rsidR="00E47247" w:rsidRDefault="003F5351">
      <w:pPr>
        <w:spacing w:after="200" w:line="300" w:lineRule="auto"/>
        <w:jc w:val="both"/>
      </w:pPr>
      <w:r>
        <w:rPr>
          <w:sz w:val="24"/>
          <w:szCs w:val="24"/>
        </w:rPr>
        <w:t>• Desființarea IRDO: cca 3 milioane lei/an.</w:t>
      </w:r>
    </w:p>
    <w:p w:rsidR="00E47247" w:rsidRDefault="003F5351">
      <w:pPr>
        <w:spacing w:after="200" w:line="300" w:lineRule="auto"/>
        <w:jc w:val="both"/>
      </w:pPr>
      <w:r>
        <w:rPr>
          <w:sz w:val="24"/>
          <w:szCs w:val="24"/>
        </w:rPr>
        <w:t>• Comasarea funcțiilor administrative ale institutelor de cercetare istorică/memorialistică: economie estimată, de cuantificat exact prin cercetare bugetară suplimentară (execuții bugetare pe articole).</w:t>
      </w:r>
    </w:p>
    <w:p w:rsidR="00E47247" w:rsidRDefault="003F5351">
      <w:pPr>
        <w:spacing w:after="200" w:line="300" w:lineRule="auto"/>
        <w:jc w:val="both"/>
      </w:pPr>
      <w:r>
        <w:rPr>
          <w:sz w:val="24"/>
          <w:szCs w:val="24"/>
        </w:rPr>
        <w:t>• Accelerarea reorganizării institutelor Academiei Române (70 → 50): economii de funcționare (sedii, administrativ), de cuantificat prin solicitarea situației financiare a Academiei Române.</w:t>
      </w:r>
    </w:p>
    <w:p w:rsidR="00E47247" w:rsidRDefault="003F5351">
      <w:pPr>
        <w:spacing w:after="200" w:line="300" w:lineRule="auto"/>
        <w:jc w:val="both"/>
      </w:pPr>
      <w:r>
        <w:rPr>
          <w:sz w:val="24"/>
          <w:szCs w:val="24"/>
        </w:rPr>
        <w:t>• Reforma reprezentării minorităților naționale: economie potențială semnificativă din reducerea proporțională a indemnizațiilor și birourilor parlamentare exercitate simultan, față de un cost total actual estimat la cca 296 milioane lei/an pentru ansamblul organizațiilor minorităților.</w:t>
      </w:r>
    </w:p>
    <w:p w:rsidR="00E47247" w:rsidRDefault="003F5351">
      <w:pPr>
        <w:spacing w:after="200" w:line="300" w:lineRule="auto"/>
        <w:jc w:val="both"/>
      </w:pPr>
      <w:r>
        <w:rPr>
          <w:sz w:val="24"/>
          <w:szCs w:val="24"/>
        </w:rPr>
        <w:t>• Reducerea numărului total de parlamentari: economie proporțională cu numărul de mandate eliminate, de cuantificat exact pe baza bugetului Camerei Deputaților și Senatului aferent exercițiului financiar în curs.</w:t>
      </w:r>
    </w:p>
    <w:p w:rsidR="00E47247" w:rsidRDefault="003F5351">
      <w:pPr>
        <w:spacing w:after="200" w:line="300" w:lineRule="auto"/>
        <w:jc w:val="both"/>
      </w:pPr>
      <w:r>
        <w:rPr>
          <w:sz w:val="24"/>
          <w:szCs w:val="24"/>
        </w:rPr>
        <w:t>• Reforma administrativ-teritorială (comasarea a 21 de perechi de județe): desființarea a 21 de posturi de prefect și a cca 42 de posturi de subprefect, cu cabinetele aferente, plus comasarea a 21 de seturi de direcții județene de cultură, agricultură, sport și mediu; economie estimată de ordinul a 60–100 milioane lei/an numai din bugetele instituțiilor prefectului (pe baza reperului verificat al Instituției Prefectului – Județul Mureș, 9,192 milioane lei/an), la care se adaugă economii neconcentrate din direcțiile județene, de cuantificat separat.</w:t>
      </w:r>
    </w:p>
    <w:p w:rsidR="00E47247" w:rsidRDefault="003F5351">
      <w:pPr>
        <w:spacing w:after="200" w:line="300" w:lineRule="auto"/>
        <w:jc w:val="both"/>
      </w:pPr>
      <w:r>
        <w:rPr>
          <w:sz w:val="24"/>
          <w:szCs w:val="24"/>
        </w:rPr>
        <w:t>• Comasarea a cca 1.000 de comune sub 5.000 de locuitori și orașe sub 10.000 de locuitori (cifră de verificat pe baza datelor INS): economie la nivelul cheltuielilor administrative proprii (personal de conducere, sedii, utilități, carburant), cu păstrarea integrală a finanțării pentru școli, sănătate și poliție; necesită o estimare separată, unitate cu unitate.</w:t>
      </w:r>
    </w:p>
    <w:p w:rsidR="00E47247" w:rsidRDefault="003F5351">
      <w:pPr>
        <w:spacing w:after="200" w:line="300" w:lineRule="auto"/>
        <w:jc w:val="both"/>
      </w:pPr>
      <w:r>
        <w:rPr>
          <w:sz w:val="24"/>
          <w:szCs w:val="24"/>
        </w:rPr>
        <w:t>• Eliminarea treptată a chiriilor plătite de instituțiile publice pentru sedii în proprietate privată, prin relocarea în imobilele eliberate de comasarea administrativ-teritorială: potențial de economie raportat la un cost actual total declarat public de peste 100 milioane euro/an (sursă: declarațiile fostului ministru al Finanțelor Adrian Câciu, ianuarie 2025).</w:t>
      </w:r>
    </w:p>
    <w:p w:rsidR="00E47247" w:rsidRDefault="003F5351">
      <w:pPr>
        <w:spacing w:after="200" w:line="300" w:lineRule="auto"/>
        <w:jc w:val="both"/>
      </w:pPr>
      <w:r>
        <w:rPr>
          <w:sz w:val="24"/>
          <w:szCs w:val="24"/>
        </w:rPr>
        <w:t>• Comasarea Institutului „Eudoxiu Hurmuzachi” cu Departamentul/Ministerul pentru Românii de Pretutindeni și a Centrului Național de Cultură al Romilor cu Agenția Națională pentru Romi: economie din eliminarea dublei conduceri și a aparatelor administrative paralele, de cuantificat exact pe baza bugetelor actuale ale celor patru structuri.</w:t>
      </w:r>
    </w:p>
    <w:p w:rsidR="00E47247" w:rsidRDefault="003F5351">
      <w:pPr>
        <w:spacing w:after="200" w:line="300" w:lineRule="auto"/>
        <w:jc w:val="both"/>
      </w:pPr>
      <w:r>
        <w:rPr>
          <w:sz w:val="24"/>
          <w:szCs w:val="24"/>
        </w:rPr>
        <w:lastRenderedPageBreak/>
        <w:t>• Desființarea Autorității pentru Reformă Feroviară: economie estimată la nivelul integral al bugetului anual de funcționare (79 de posturi bugetate), de confirmat prin bugetul actual al instituției; măsura se aplică cu succesiune universală de drept către Ministerul Transporturilor și Infrastructurii, pentru a proteja contractele de servicii publice și finanțările europene aflate în derulare.</w:t>
      </w:r>
    </w:p>
    <w:p w:rsidR="00E47247" w:rsidRDefault="003F5351">
      <w:pPr>
        <w:spacing w:after="200" w:line="300" w:lineRule="auto"/>
        <w:jc w:val="both"/>
      </w:pPr>
      <w:r>
        <w:rPr>
          <w:sz w:val="24"/>
          <w:szCs w:val="24"/>
        </w:rPr>
        <w:t>• Comasarea companiilor municipale care dublează activitatea unor direcții existente (ex. companiile municipale ale Primăriei București): economie estimată prin eliminarea dublării de personal de conducere și structuri administrative, de cuantificat pe baza bugetelor de venituri și cheltuieli ale fiecărei companii.</w:t>
      </w:r>
    </w:p>
    <w:p w:rsidR="00E47247" w:rsidRDefault="003F5351">
      <w:pPr>
        <w:spacing w:after="200" w:line="300" w:lineRule="auto"/>
        <w:jc w:val="both"/>
      </w:pPr>
      <w:r>
        <w:rPr>
          <w:sz w:val="24"/>
          <w:szCs w:val="24"/>
        </w:rPr>
        <w:t>• Lichidarea companiilor de stat fără activitate economică reală („cadavre administrative”): economie greu de cuantificat global, în absența unei evidențe centralizate a Guvernului; prima etapă este inventarierea obligatorie prevăzută la art. 12.</w:t>
      </w:r>
    </w:p>
    <w:p w:rsidR="00E47247" w:rsidRPr="00B858F8" w:rsidRDefault="003F5351">
      <w:pPr>
        <w:spacing w:after="200" w:line="300" w:lineRule="auto"/>
        <w:jc w:val="both"/>
        <w:rPr>
          <w:b/>
        </w:rPr>
      </w:pPr>
      <w:r w:rsidRPr="00B858F8">
        <w:rPr>
          <w:b/>
          <w:i/>
          <w:iCs/>
          <w:sz w:val="24"/>
          <w:szCs w:val="24"/>
        </w:rPr>
        <w:t xml:space="preserve">Cifrele de mai sus au caracter de estimare inițială, întemeiată pe surse publice de presă și declarații oficiale, și trebuie confirmate, înainte de depunerea formală </w:t>
      </w:r>
      <w:proofErr w:type="gramStart"/>
      <w:r w:rsidRPr="00B858F8">
        <w:rPr>
          <w:b/>
          <w:i/>
          <w:iCs/>
          <w:sz w:val="24"/>
          <w:szCs w:val="24"/>
        </w:rPr>
        <w:t>a</w:t>
      </w:r>
      <w:proofErr w:type="gramEnd"/>
      <w:r w:rsidRPr="00B858F8">
        <w:rPr>
          <w:b/>
          <w:i/>
          <w:iCs/>
          <w:sz w:val="24"/>
          <w:szCs w:val="24"/>
        </w:rPr>
        <w:t xml:space="preserve"> inițiativei, prin execuțiile bugetare exacte ale fiecărei instituții vizate, obținute prin cereri de informații de interes public sau prin solicitare directă către Ministerul Finanțelor.</w:t>
      </w:r>
    </w:p>
    <w:sectPr w:rsidR="00E47247" w:rsidRPr="00B858F8" w:rsidSect="009530EB">
      <w:headerReference w:type="default" r:id="rId7"/>
      <w:footerReference w:type="default" r:id="rId8"/>
      <w:pgSz w:w="11906" w:h="16838"/>
      <w:pgMar w:top="1417" w:right="991" w:bottom="1417" w:left="99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B36" w:rsidRDefault="00A11B36">
      <w:r>
        <w:separator/>
      </w:r>
    </w:p>
  </w:endnote>
  <w:endnote w:type="continuationSeparator" w:id="0">
    <w:p w:rsidR="00A11B36" w:rsidRDefault="00A11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247" w:rsidRDefault="003F5351">
    <w:pPr>
      <w:jc w:val="center"/>
    </w:pPr>
    <w:r>
      <w:rPr>
        <w:sz w:val="18"/>
        <w:szCs w:val="18"/>
      </w:rPr>
      <w:t xml:space="preserve">Pagina </w:t>
    </w:r>
    <w:r>
      <w:rPr>
        <w:sz w:val="18"/>
        <w:szCs w:val="18"/>
      </w:rPr>
      <w:fldChar w:fldCharType="begin"/>
    </w:r>
    <w:r>
      <w:rPr>
        <w:sz w:val="18"/>
        <w:szCs w:val="18"/>
      </w:rPr>
      <w:instrText>PAGE</w:instrText>
    </w:r>
    <w:r>
      <w:rPr>
        <w:sz w:val="18"/>
        <w:szCs w:val="18"/>
      </w:rPr>
      <w:fldChar w:fldCharType="separate"/>
    </w:r>
    <w:r w:rsidR="00574D2B">
      <w:rPr>
        <w:noProof/>
        <w:sz w:val="18"/>
        <w:szCs w:val="18"/>
      </w:rPr>
      <w:t>1</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574D2B">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B36" w:rsidRDefault="00A11B36">
      <w:r>
        <w:separator/>
      </w:r>
    </w:p>
  </w:footnote>
  <w:footnote w:type="continuationSeparator" w:id="0">
    <w:p w:rsidR="00A11B36" w:rsidRDefault="00A11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247" w:rsidRDefault="003F5351">
    <w:pPr>
      <w:jc w:val="right"/>
    </w:pPr>
    <w:r>
      <w:rPr>
        <w:i/>
        <w:iCs/>
        <w:sz w:val="18"/>
        <w:szCs w:val="18"/>
      </w:rPr>
      <w:t>Inițiativă legislativă a cetățenilor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E573E"/>
    <w:multiLevelType w:val="hybridMultilevel"/>
    <w:tmpl w:val="38A0CC12"/>
    <w:lvl w:ilvl="0" w:tplc="7B142038">
      <w:start w:val="1"/>
      <w:numFmt w:val="bullet"/>
      <w:lvlText w:val="●"/>
      <w:lvlJc w:val="left"/>
      <w:pPr>
        <w:ind w:left="720" w:hanging="360"/>
      </w:pPr>
    </w:lvl>
    <w:lvl w:ilvl="1" w:tplc="6E6A45BE">
      <w:start w:val="1"/>
      <w:numFmt w:val="bullet"/>
      <w:lvlText w:val="○"/>
      <w:lvlJc w:val="left"/>
      <w:pPr>
        <w:ind w:left="1440" w:hanging="360"/>
      </w:pPr>
    </w:lvl>
    <w:lvl w:ilvl="2" w:tplc="D744FDF2">
      <w:start w:val="1"/>
      <w:numFmt w:val="bullet"/>
      <w:lvlText w:val="■"/>
      <w:lvlJc w:val="left"/>
      <w:pPr>
        <w:ind w:left="2160" w:hanging="360"/>
      </w:pPr>
    </w:lvl>
    <w:lvl w:ilvl="3" w:tplc="D01A2F68">
      <w:start w:val="1"/>
      <w:numFmt w:val="bullet"/>
      <w:lvlText w:val="●"/>
      <w:lvlJc w:val="left"/>
      <w:pPr>
        <w:ind w:left="2880" w:hanging="360"/>
      </w:pPr>
    </w:lvl>
    <w:lvl w:ilvl="4" w:tplc="314C8628">
      <w:start w:val="1"/>
      <w:numFmt w:val="bullet"/>
      <w:lvlText w:val="○"/>
      <w:lvlJc w:val="left"/>
      <w:pPr>
        <w:ind w:left="3600" w:hanging="360"/>
      </w:pPr>
    </w:lvl>
    <w:lvl w:ilvl="5" w:tplc="2FCC0140">
      <w:start w:val="1"/>
      <w:numFmt w:val="bullet"/>
      <w:lvlText w:val="■"/>
      <w:lvlJc w:val="left"/>
      <w:pPr>
        <w:ind w:left="4320" w:hanging="360"/>
      </w:pPr>
    </w:lvl>
    <w:lvl w:ilvl="6" w:tplc="4EE623D6">
      <w:start w:val="1"/>
      <w:numFmt w:val="bullet"/>
      <w:lvlText w:val="●"/>
      <w:lvlJc w:val="left"/>
      <w:pPr>
        <w:ind w:left="5040" w:hanging="360"/>
      </w:pPr>
    </w:lvl>
    <w:lvl w:ilvl="7" w:tplc="3CD0850A">
      <w:start w:val="1"/>
      <w:numFmt w:val="bullet"/>
      <w:lvlText w:val="●"/>
      <w:lvlJc w:val="left"/>
      <w:pPr>
        <w:ind w:left="5760" w:hanging="360"/>
      </w:pPr>
    </w:lvl>
    <w:lvl w:ilvl="8" w:tplc="65DADF5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247"/>
    <w:rsid w:val="003F5351"/>
    <w:rsid w:val="00574D2B"/>
    <w:rsid w:val="009530EB"/>
    <w:rsid w:val="00A11B36"/>
    <w:rsid w:val="00B858F8"/>
    <w:rsid w:val="00B96BF8"/>
    <w:rsid w:val="00BE50D6"/>
    <w:rsid w:val="00C85FA2"/>
    <w:rsid w:val="00E47247"/>
    <w:rsid w:val="00F94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46A2"/>
  <w15:docId w15:val="{E61807B1-CCCE-41BA-9F4C-C2FF90DB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6311</Words>
  <Characters>35976</Characters>
  <Application>Microsoft Office Word</Application>
  <DocSecurity>0</DocSecurity>
  <Lines>299</Lines>
  <Paragraphs>84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2026-10-08T07:14:00Z</dcterms:created>
  <dcterms:modified xsi:type="dcterms:W3CDTF">2026-10-08T07:14:00Z</dcterms:modified>
</cp:coreProperties>
</file>